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7F989" w14:textId="177F1463" w:rsidR="00340FEC" w:rsidRPr="005E40B6" w:rsidRDefault="00340FEC" w:rsidP="00340FEC">
      <w:pPr>
        <w:pStyle w:val="3GPPHeader"/>
        <w:spacing w:after="0"/>
        <w:rPr>
          <w:rFonts w:cs="Arial"/>
          <w:color w:val="000000"/>
          <w:kern w:val="2"/>
          <w:lang w:val="en-US"/>
        </w:rPr>
      </w:pPr>
      <w:r w:rsidRPr="005E40B6">
        <w:rPr>
          <w:rFonts w:cs="Arial"/>
          <w:color w:val="000000"/>
          <w:kern w:val="2"/>
          <w:lang w:val="en-US"/>
        </w:rPr>
        <w:t>3GPP TSG-RAN WG2#101</w:t>
      </w:r>
      <w:r>
        <w:rPr>
          <w:rFonts w:cs="Arial"/>
          <w:color w:val="000000"/>
          <w:kern w:val="2"/>
          <w:lang w:val="en-US"/>
        </w:rPr>
        <w:t>bis</w:t>
      </w:r>
      <w:r w:rsidRPr="005E40B6">
        <w:rPr>
          <w:rFonts w:cs="Arial"/>
          <w:color w:val="000000"/>
          <w:kern w:val="2"/>
          <w:lang w:val="en-US"/>
        </w:rPr>
        <w:t xml:space="preserve"> </w:t>
      </w:r>
      <w:r w:rsidRPr="005E40B6">
        <w:rPr>
          <w:rFonts w:cs="Arial"/>
          <w:color w:val="000000"/>
          <w:kern w:val="2"/>
          <w:lang w:val="en-US"/>
        </w:rPr>
        <w:tab/>
        <w:t>R2-18</w:t>
      </w:r>
      <w:r w:rsidR="002034C5" w:rsidRPr="0017741C">
        <w:rPr>
          <w:rFonts w:cs="Arial"/>
          <w:color w:val="000000"/>
          <w:kern w:val="2"/>
          <w:lang w:val="en-US"/>
        </w:rPr>
        <w:t>04535</w:t>
      </w:r>
    </w:p>
    <w:p w14:paraId="79ECCC57" w14:textId="70B3B3C3" w:rsidR="00340FEC" w:rsidRPr="005E40B6" w:rsidRDefault="00340FEC" w:rsidP="00340FEC">
      <w:pPr>
        <w:pStyle w:val="3GPPHeader"/>
        <w:spacing w:after="0"/>
        <w:rPr>
          <w:rFonts w:cs="Arial"/>
          <w:color w:val="000000"/>
          <w:kern w:val="2"/>
          <w:lang w:val="en-US"/>
        </w:rPr>
      </w:pPr>
      <w:r>
        <w:rPr>
          <w:rFonts w:cs="Arial"/>
          <w:color w:val="000000"/>
          <w:kern w:val="2"/>
          <w:lang w:val="en-US"/>
        </w:rPr>
        <w:t>Sanya</w:t>
      </w:r>
      <w:r w:rsidRPr="005E40B6">
        <w:rPr>
          <w:rFonts w:cs="Arial"/>
          <w:color w:val="000000"/>
          <w:kern w:val="2"/>
          <w:lang w:val="en-US"/>
        </w:rPr>
        <w:t xml:space="preserve">, </w:t>
      </w:r>
      <w:r>
        <w:rPr>
          <w:rFonts w:cs="Arial"/>
          <w:color w:val="000000"/>
          <w:kern w:val="2"/>
          <w:lang w:val="en-US"/>
        </w:rPr>
        <w:t>China</w:t>
      </w:r>
      <w:r w:rsidRPr="005E40B6">
        <w:rPr>
          <w:rFonts w:cs="Arial"/>
          <w:color w:val="000000"/>
          <w:kern w:val="2"/>
          <w:lang w:val="en-US"/>
        </w:rPr>
        <w:t xml:space="preserve">, </w:t>
      </w:r>
      <w:r>
        <w:rPr>
          <w:rFonts w:cs="Arial"/>
          <w:color w:val="000000"/>
          <w:kern w:val="2"/>
          <w:lang w:val="en-US"/>
        </w:rPr>
        <w:t>16</w:t>
      </w:r>
      <w:r w:rsidRPr="008E0BB2">
        <w:rPr>
          <w:rFonts w:cs="Arial"/>
          <w:color w:val="000000"/>
          <w:kern w:val="2"/>
          <w:vertAlign w:val="superscript"/>
          <w:lang w:val="en-US"/>
        </w:rPr>
        <w:t>th</w:t>
      </w:r>
      <w:r>
        <w:rPr>
          <w:rFonts w:cs="Arial"/>
          <w:color w:val="000000"/>
          <w:kern w:val="2"/>
          <w:lang w:val="en-US"/>
        </w:rPr>
        <w:t xml:space="preserve"> April – 20</w:t>
      </w:r>
      <w:r w:rsidRPr="008E0BB2">
        <w:rPr>
          <w:rFonts w:cs="Arial"/>
          <w:color w:val="000000"/>
          <w:kern w:val="2"/>
          <w:vertAlign w:val="superscript"/>
          <w:lang w:val="en-US"/>
        </w:rPr>
        <w:t>th</w:t>
      </w:r>
      <w:r>
        <w:rPr>
          <w:rFonts w:cs="Arial"/>
          <w:color w:val="000000"/>
          <w:kern w:val="2"/>
          <w:lang w:val="en-US"/>
        </w:rPr>
        <w:t xml:space="preserve"> April                   </w:t>
      </w:r>
    </w:p>
    <w:p w14:paraId="15EE24F5" w14:textId="77777777" w:rsidR="0031543E" w:rsidRPr="004C440F" w:rsidRDefault="0031543E" w:rsidP="0031543E">
      <w:pPr>
        <w:pStyle w:val="3GPPHeader"/>
        <w:rPr>
          <w:sz w:val="22"/>
          <w:szCs w:val="22"/>
          <w:lang w:val="en-US"/>
        </w:rPr>
      </w:pPr>
    </w:p>
    <w:p w14:paraId="6C0C81ED" w14:textId="60370D79" w:rsidR="0031543E" w:rsidRPr="004C440F" w:rsidRDefault="0031543E" w:rsidP="0031543E">
      <w:pPr>
        <w:pStyle w:val="3GPPHeader"/>
        <w:rPr>
          <w:sz w:val="22"/>
          <w:szCs w:val="22"/>
          <w:lang w:val="en-US"/>
        </w:rPr>
      </w:pPr>
      <w:r w:rsidRPr="004C440F">
        <w:rPr>
          <w:sz w:val="22"/>
          <w:szCs w:val="22"/>
          <w:lang w:val="en-US"/>
        </w:rPr>
        <w:t>Agenda Item:</w:t>
      </w:r>
      <w:r w:rsidRPr="004C440F">
        <w:rPr>
          <w:sz w:val="22"/>
          <w:szCs w:val="22"/>
          <w:lang w:val="en-US"/>
        </w:rPr>
        <w:tab/>
      </w:r>
      <w:r w:rsidR="00AE1ACA">
        <w:rPr>
          <w:sz w:val="22"/>
          <w:szCs w:val="22"/>
          <w:lang w:val="en-US"/>
        </w:rPr>
        <w:t>9</w:t>
      </w:r>
      <w:r w:rsidR="009D3977">
        <w:rPr>
          <w:sz w:val="22"/>
          <w:szCs w:val="22"/>
          <w:lang w:val="en-US"/>
        </w:rPr>
        <w:t>.</w:t>
      </w:r>
      <w:r w:rsidR="00AE1ACA">
        <w:rPr>
          <w:sz w:val="22"/>
          <w:szCs w:val="22"/>
          <w:lang w:val="en-US"/>
        </w:rPr>
        <w:t>7</w:t>
      </w:r>
      <w:r w:rsidR="009D3977">
        <w:rPr>
          <w:sz w:val="22"/>
          <w:szCs w:val="22"/>
          <w:lang w:val="en-US"/>
        </w:rPr>
        <w:t>.</w:t>
      </w:r>
      <w:r w:rsidR="00AE1ACA">
        <w:rPr>
          <w:sz w:val="22"/>
          <w:szCs w:val="22"/>
          <w:lang w:val="en-US"/>
        </w:rPr>
        <w:t>2</w:t>
      </w:r>
    </w:p>
    <w:p w14:paraId="36E14068" w14:textId="25918F6A" w:rsidR="0031543E" w:rsidRPr="004C440F" w:rsidRDefault="0031543E" w:rsidP="0031543E">
      <w:pPr>
        <w:pStyle w:val="3GPPHeader"/>
        <w:rPr>
          <w:sz w:val="22"/>
          <w:szCs w:val="22"/>
        </w:rPr>
      </w:pPr>
      <w:r w:rsidRPr="004C440F">
        <w:rPr>
          <w:sz w:val="22"/>
          <w:szCs w:val="22"/>
        </w:rPr>
        <w:t>Source:</w:t>
      </w:r>
      <w:r w:rsidRPr="004C440F">
        <w:rPr>
          <w:sz w:val="22"/>
          <w:szCs w:val="22"/>
        </w:rPr>
        <w:tab/>
      </w:r>
      <w:r w:rsidRPr="004C440F">
        <w:rPr>
          <w:rFonts w:hint="eastAsia"/>
          <w:sz w:val="22"/>
          <w:szCs w:val="22"/>
        </w:rPr>
        <w:t>OPPO</w:t>
      </w:r>
    </w:p>
    <w:p w14:paraId="7A70B16A" w14:textId="759A9486" w:rsidR="0031543E" w:rsidRPr="004C440F" w:rsidRDefault="0031543E" w:rsidP="0031543E">
      <w:pPr>
        <w:pStyle w:val="3GPPHeader"/>
        <w:rPr>
          <w:sz w:val="22"/>
          <w:szCs w:val="22"/>
        </w:rPr>
      </w:pPr>
      <w:r w:rsidRPr="004C440F">
        <w:rPr>
          <w:sz w:val="22"/>
          <w:szCs w:val="22"/>
        </w:rPr>
        <w:t>Title:</w:t>
      </w:r>
      <w:r w:rsidRPr="004C440F">
        <w:rPr>
          <w:sz w:val="22"/>
          <w:szCs w:val="22"/>
        </w:rPr>
        <w:tab/>
      </w:r>
      <w:r w:rsidR="003A1263">
        <w:rPr>
          <w:sz w:val="22"/>
          <w:szCs w:val="22"/>
        </w:rPr>
        <w:t xml:space="preserve">Further </w:t>
      </w:r>
      <w:bookmarkStart w:id="0" w:name="_GoBack"/>
      <w:bookmarkEnd w:id="0"/>
      <w:r w:rsidR="004912E1">
        <w:rPr>
          <w:sz w:val="22"/>
          <w:szCs w:val="22"/>
        </w:rPr>
        <w:t xml:space="preserve">Discussion </w:t>
      </w:r>
      <w:r w:rsidR="009D3977">
        <w:rPr>
          <w:sz w:val="22"/>
          <w:szCs w:val="22"/>
        </w:rPr>
        <w:t xml:space="preserve">on </w:t>
      </w:r>
      <w:r w:rsidR="003A1263">
        <w:rPr>
          <w:sz w:val="22"/>
          <w:szCs w:val="22"/>
        </w:rPr>
        <w:t>ng-</w:t>
      </w:r>
      <w:proofErr w:type="spellStart"/>
      <w:r w:rsidR="003A1263">
        <w:rPr>
          <w:sz w:val="22"/>
          <w:szCs w:val="22"/>
        </w:rPr>
        <w:t>eNB</w:t>
      </w:r>
      <w:proofErr w:type="spellEnd"/>
      <w:r w:rsidR="003A1263">
        <w:rPr>
          <w:sz w:val="22"/>
          <w:szCs w:val="22"/>
        </w:rPr>
        <w:t xml:space="preserve"> TAC Format and Potential Impacts</w:t>
      </w:r>
    </w:p>
    <w:p w14:paraId="50533554" w14:textId="77777777" w:rsidR="0031543E" w:rsidRPr="004C440F" w:rsidRDefault="0031543E" w:rsidP="0031543E">
      <w:pPr>
        <w:pStyle w:val="3GPPHeader"/>
        <w:rPr>
          <w:sz w:val="22"/>
          <w:szCs w:val="22"/>
        </w:rPr>
      </w:pPr>
      <w:r w:rsidRPr="004C440F">
        <w:rPr>
          <w:sz w:val="22"/>
          <w:szCs w:val="22"/>
        </w:rPr>
        <w:t>Document for:</w:t>
      </w:r>
      <w:r w:rsidRPr="004C440F">
        <w:rPr>
          <w:sz w:val="22"/>
          <w:szCs w:val="22"/>
        </w:rPr>
        <w:tab/>
        <w:t>Discussion, Decision</w:t>
      </w:r>
    </w:p>
    <w:p w14:paraId="46CF2650" w14:textId="77777777" w:rsidR="00E90E49" w:rsidRPr="00CE0424" w:rsidRDefault="00E90E49" w:rsidP="00CE0424">
      <w:pPr>
        <w:pStyle w:val="1"/>
      </w:pPr>
      <w:r w:rsidRPr="00CE0424">
        <w:t>Introduction</w:t>
      </w:r>
    </w:p>
    <w:p w14:paraId="2DC2F385" w14:textId="1B53C33F" w:rsidR="00473330" w:rsidRDefault="006D2017" w:rsidP="009D3977">
      <w:pPr>
        <w:pStyle w:val="ab"/>
      </w:pPr>
      <w:r>
        <w:rPr>
          <w:rFonts w:hint="eastAsia"/>
        </w:rPr>
        <w:t>In</w:t>
      </w:r>
      <w:r w:rsidR="00DC2B6D">
        <w:t xml:space="preserve"> </w:t>
      </w:r>
      <w:r w:rsidR="009D3977">
        <w:t>RAN2#101</w:t>
      </w:r>
      <w:r w:rsidR="00196865">
        <w:t>[1]</w:t>
      </w:r>
      <w:r w:rsidR="009D3977">
        <w:t xml:space="preserve">, </w:t>
      </w:r>
      <w:r w:rsidR="00473330">
        <w:t>regarding to TAC issue, the following agreements are reached.</w:t>
      </w:r>
    </w:p>
    <w:p w14:paraId="4B701F22" w14:textId="77777777" w:rsidR="00473330" w:rsidRDefault="00473330" w:rsidP="00473330">
      <w:pPr>
        <w:pStyle w:val="Doc-text2"/>
        <w:pBdr>
          <w:top w:val="single" w:sz="4" w:space="1" w:color="auto"/>
          <w:left w:val="single" w:sz="4" w:space="4" w:color="auto"/>
          <w:bottom w:val="single" w:sz="4" w:space="1" w:color="auto"/>
          <w:right w:val="single" w:sz="4" w:space="4" w:color="auto"/>
        </w:pBdr>
      </w:pPr>
      <w:r>
        <w:t>Agreements:</w:t>
      </w:r>
    </w:p>
    <w:p w14:paraId="27673199" w14:textId="77777777" w:rsidR="00473330" w:rsidRDefault="00473330" w:rsidP="00473330">
      <w:pPr>
        <w:pStyle w:val="Doc-text2"/>
        <w:pBdr>
          <w:top w:val="single" w:sz="4" w:space="1" w:color="auto"/>
          <w:left w:val="single" w:sz="4" w:space="4" w:color="auto"/>
          <w:bottom w:val="single" w:sz="4" w:space="1" w:color="auto"/>
          <w:right w:val="single" w:sz="4" w:space="4" w:color="auto"/>
        </w:pBdr>
      </w:pPr>
      <w:r>
        <w:t>1</w:t>
      </w:r>
      <w:r>
        <w:tab/>
        <w:t>New TAC field for 5GC will be introduced (separate from TAC for EPC, to enable different TAC value for EPC and 5GC)</w:t>
      </w:r>
    </w:p>
    <w:p w14:paraId="3CE670AE" w14:textId="77777777" w:rsidR="00473330" w:rsidRDefault="00473330" w:rsidP="00473330">
      <w:pPr>
        <w:pStyle w:val="Doc-text2"/>
        <w:pBdr>
          <w:top w:val="single" w:sz="4" w:space="1" w:color="auto"/>
          <w:left w:val="single" w:sz="4" w:space="4" w:color="auto"/>
          <w:bottom w:val="single" w:sz="4" w:space="1" w:color="auto"/>
          <w:right w:val="single" w:sz="4" w:space="4" w:color="auto"/>
        </w:pBdr>
      </w:pPr>
      <w:r>
        <w:t>2</w:t>
      </w:r>
      <w:r>
        <w:tab/>
      </w:r>
      <w:r w:rsidRPr="006C7B4C">
        <w:t>TAC for 5GC</w:t>
      </w:r>
      <w:r>
        <w:t xml:space="preserve"> can be PLMN specific</w:t>
      </w:r>
    </w:p>
    <w:p w14:paraId="779287C9" w14:textId="6EF79D35" w:rsidR="00473330" w:rsidRDefault="00473330" w:rsidP="009D3977">
      <w:pPr>
        <w:pStyle w:val="ab"/>
      </w:pPr>
    </w:p>
    <w:p w14:paraId="2C56F85C" w14:textId="517FA571" w:rsidR="00196865" w:rsidRDefault="00196865" w:rsidP="009D3977">
      <w:pPr>
        <w:pStyle w:val="ab"/>
      </w:pPr>
      <w:r>
        <w:rPr>
          <w:rFonts w:hint="eastAsia"/>
        </w:rPr>
        <w:t>M</w:t>
      </w:r>
      <w:r>
        <w:t>eanwhile, RAN3 sent LS to RAN2 in [2] about their decision.  Especially, RAN3 made the following stage-2 agreements</w:t>
      </w:r>
      <w:r w:rsidR="003E69D8">
        <w:t>.</w:t>
      </w:r>
    </w:p>
    <w:p w14:paraId="35A72B4E" w14:textId="622F0341" w:rsidR="00196865" w:rsidRPr="006159B0" w:rsidRDefault="00196865" w:rsidP="00196865">
      <w:pPr>
        <w:pStyle w:val="B1"/>
        <w:pBdr>
          <w:top w:val="single" w:sz="4" w:space="1" w:color="auto"/>
          <w:left w:val="single" w:sz="4" w:space="4" w:color="auto"/>
          <w:bottom w:val="single" w:sz="4" w:space="1" w:color="auto"/>
          <w:right w:val="single" w:sz="4" w:space="4" w:color="auto"/>
        </w:pBdr>
      </w:pPr>
      <w:r w:rsidRPr="006159B0">
        <w:t>-</w:t>
      </w:r>
      <w:r w:rsidRPr="006159B0">
        <w:tab/>
        <w:t>Tracking Area identity (TAI): used to identify tracking areas. The TAI is constructed from the PLMN identity the tracking area belongs to and the TAC (Tracking Area Code) of the Tracking Area.</w:t>
      </w:r>
      <w:r w:rsidRPr="00814AE4">
        <w:t xml:space="preserve"> </w:t>
      </w:r>
      <w:r w:rsidRPr="003E69D8">
        <w:rPr>
          <w:highlight w:val="yellow"/>
        </w:rPr>
        <w:t>A gNB cell may use either a TAC having the same format as in E-UTRAN, or an extended TAC. An ng-eNB cell shall use a TAC having the same format as in E-UTRAN</w:t>
      </w:r>
      <w:r>
        <w:t>.</w:t>
      </w:r>
      <w:r w:rsidR="00AE1ACA">
        <w:t xml:space="preserve"> </w:t>
      </w:r>
    </w:p>
    <w:p w14:paraId="13FDAD26" w14:textId="23F7048C" w:rsidR="00D26008" w:rsidRPr="00CE0424" w:rsidRDefault="003E69D8" w:rsidP="00CE0424">
      <w:pPr>
        <w:pStyle w:val="ab"/>
      </w:pPr>
      <w:r>
        <w:t xml:space="preserve">According to RAN3 agreements, </w:t>
      </w:r>
      <w:r w:rsidR="009D3977">
        <w:t>ng-eNB always use the legacy TAC size but gNB can use either legacy TAC or new TAC with 3 bytes.</w:t>
      </w:r>
      <w:r>
        <w:t xml:space="preserve">  Some companies in RAN2 have concerns about this agreement but there is no agreed LS to be sent to RAN3.  It was suggested in last RAN2 meeting to further analyse the impact to RAN2 procedures.  </w:t>
      </w:r>
      <w:r w:rsidR="00DC2B6D">
        <w:rPr>
          <w:rFonts w:hint="eastAsia"/>
        </w:rPr>
        <w:t>I</w:t>
      </w:r>
      <w:r w:rsidR="00DC2B6D">
        <w:t>n this contribution, we discuss</w:t>
      </w:r>
      <w:r w:rsidR="009D3977">
        <w:t xml:space="preserve"> the impact of RAN2 procedures for two TAC sizes considering both LTE/5GC and NR/5GC scenario</w:t>
      </w:r>
      <w:r>
        <w:t>s</w:t>
      </w:r>
      <w:r w:rsidR="00DC2B6D">
        <w:t>.</w:t>
      </w:r>
    </w:p>
    <w:p w14:paraId="0EB69BE8" w14:textId="7704063D" w:rsidR="003E69D8" w:rsidRDefault="003E69D8" w:rsidP="00E46E29">
      <w:pPr>
        <w:pStyle w:val="1"/>
      </w:pPr>
      <w:r>
        <w:rPr>
          <w:rFonts w:hint="eastAsia"/>
        </w:rPr>
        <w:t>D</w:t>
      </w:r>
      <w:r>
        <w:t>iscussions and Proposals</w:t>
      </w:r>
    </w:p>
    <w:p w14:paraId="72A93EB4" w14:textId="02687C36" w:rsidR="00905FD6" w:rsidRDefault="003E69D8" w:rsidP="00837D48">
      <w:pPr>
        <w:overflowPunct/>
        <w:autoSpaceDE/>
        <w:autoSpaceDN/>
        <w:adjustRightInd/>
        <w:spacing w:after="0"/>
        <w:textAlignment w:val="auto"/>
        <w:rPr>
          <w:rFonts w:eastAsia="宋体" w:cs="Arial"/>
        </w:rPr>
      </w:pPr>
      <w:r>
        <w:rPr>
          <w:rFonts w:eastAsia="宋体" w:cs="Arial" w:hint="eastAsia"/>
        </w:rPr>
        <w:t>I</w:t>
      </w:r>
      <w:r>
        <w:rPr>
          <w:rFonts w:eastAsia="宋体" w:cs="Arial"/>
        </w:rPr>
        <w:t xml:space="preserve">n our view, RAN2 agreement </w:t>
      </w:r>
      <w:r w:rsidR="00EA7BE7">
        <w:rPr>
          <w:rFonts w:eastAsia="宋体" w:cs="Arial"/>
        </w:rPr>
        <w:t>that “</w:t>
      </w:r>
      <w:r>
        <w:rPr>
          <w:rFonts w:eastAsia="宋体" w:cs="Arial"/>
        </w:rPr>
        <w:t>new TAC field for 5GC</w:t>
      </w:r>
      <w:r w:rsidR="00EA7BE7">
        <w:rPr>
          <w:rFonts w:eastAsia="宋体" w:cs="Arial"/>
        </w:rPr>
        <w:t xml:space="preserve"> will be introduced” means ng-eNB should use new TAC field which is different from the format in E-UTRAN.  This is different from RAN3 agreement that an ng-eNB shall use a TAC having the same format as in E-UTRAN.</w:t>
      </w:r>
      <w:r>
        <w:rPr>
          <w:rFonts w:eastAsia="宋体" w:cs="Arial"/>
        </w:rPr>
        <w:t xml:space="preserve"> </w:t>
      </w:r>
      <w:r w:rsidR="00EA7BE7">
        <w:rPr>
          <w:rFonts w:eastAsia="宋体" w:cs="Arial"/>
        </w:rPr>
        <w:t xml:space="preserve"> </w:t>
      </w:r>
      <w:proofErr w:type="gramStart"/>
      <w:r w:rsidR="00EA7BE7">
        <w:rPr>
          <w:rFonts w:eastAsia="宋体" w:cs="Arial"/>
        </w:rPr>
        <w:t>T</w:t>
      </w:r>
      <w:r>
        <w:rPr>
          <w:rFonts w:eastAsia="宋体" w:cs="Arial"/>
        </w:rPr>
        <w:t>hus</w:t>
      </w:r>
      <w:proofErr w:type="gramEnd"/>
      <w:r>
        <w:rPr>
          <w:rFonts w:eastAsia="宋体" w:cs="Arial"/>
        </w:rPr>
        <w:t xml:space="preserve"> RAN3 agreement is conflicted with RAN2 agreement.</w:t>
      </w:r>
    </w:p>
    <w:p w14:paraId="66E97D4A" w14:textId="2678723A" w:rsidR="003E69D8" w:rsidRDefault="003E69D8" w:rsidP="00837D48">
      <w:pPr>
        <w:overflowPunct/>
        <w:autoSpaceDE/>
        <w:autoSpaceDN/>
        <w:adjustRightInd/>
        <w:spacing w:after="0"/>
        <w:textAlignment w:val="auto"/>
        <w:rPr>
          <w:rFonts w:eastAsia="宋体" w:cs="Arial"/>
        </w:rPr>
      </w:pPr>
    </w:p>
    <w:p w14:paraId="75C2D596" w14:textId="5830C591" w:rsidR="003E69D8" w:rsidRPr="003E69D8" w:rsidRDefault="003E69D8" w:rsidP="007739A3">
      <w:pPr>
        <w:pStyle w:val="af7"/>
        <w:numPr>
          <w:ilvl w:val="0"/>
          <w:numId w:val="10"/>
        </w:numPr>
        <w:overflowPunct/>
        <w:autoSpaceDE/>
        <w:autoSpaceDN/>
        <w:adjustRightInd/>
        <w:spacing w:after="0"/>
        <w:textAlignment w:val="auto"/>
        <w:rPr>
          <w:rFonts w:eastAsia="宋体" w:cs="Arial"/>
          <w:b/>
        </w:rPr>
      </w:pPr>
      <w:r w:rsidRPr="003E69D8">
        <w:rPr>
          <w:rFonts w:eastAsia="宋体" w:cs="Arial"/>
          <w:b/>
        </w:rPr>
        <w:t>RAN3 agreement that ng-eNB shall use same TAC format as in E-UTRAN is conflicting with RAN2 agreement.</w:t>
      </w:r>
    </w:p>
    <w:p w14:paraId="0E67AE40" w14:textId="6635EF4B" w:rsidR="00905FD6" w:rsidRDefault="00EA7BE7" w:rsidP="00837D48">
      <w:pPr>
        <w:overflowPunct/>
        <w:autoSpaceDE/>
        <w:autoSpaceDN/>
        <w:adjustRightInd/>
        <w:spacing w:after="0"/>
        <w:textAlignment w:val="auto"/>
        <w:rPr>
          <w:rFonts w:eastAsia="宋体" w:cs="Arial"/>
        </w:rPr>
      </w:pPr>
      <w:r>
        <w:rPr>
          <w:rFonts w:eastAsia="宋体" w:cs="Arial" w:hint="eastAsia"/>
        </w:rPr>
        <w:t>A</w:t>
      </w:r>
      <w:r>
        <w:rPr>
          <w:rFonts w:eastAsia="宋体" w:cs="Arial"/>
        </w:rPr>
        <w:t>lthough LS was not agreed to be sent out in last meeting, we think this issue is critical and should be solved by RAN2 and RAN3.</w:t>
      </w:r>
    </w:p>
    <w:p w14:paraId="3E2A0AD4" w14:textId="6DEE4725" w:rsidR="00EA7BE7" w:rsidRDefault="00EA7BE7" w:rsidP="00837D48">
      <w:pPr>
        <w:overflowPunct/>
        <w:autoSpaceDE/>
        <w:autoSpaceDN/>
        <w:adjustRightInd/>
        <w:spacing w:after="0"/>
        <w:textAlignment w:val="auto"/>
        <w:rPr>
          <w:rFonts w:eastAsia="宋体" w:cs="Arial"/>
        </w:rPr>
      </w:pPr>
    </w:p>
    <w:p w14:paraId="692C585D" w14:textId="2E5745C5" w:rsidR="00EA7BE7" w:rsidRPr="00EA7BE7" w:rsidRDefault="00EA7BE7" w:rsidP="007739A3">
      <w:pPr>
        <w:pStyle w:val="af7"/>
        <w:numPr>
          <w:ilvl w:val="0"/>
          <w:numId w:val="11"/>
        </w:numPr>
        <w:overflowPunct/>
        <w:autoSpaceDE/>
        <w:autoSpaceDN/>
        <w:adjustRightInd/>
        <w:spacing w:after="0"/>
        <w:textAlignment w:val="auto"/>
        <w:rPr>
          <w:rFonts w:eastAsia="宋体" w:cs="Arial"/>
          <w:b/>
        </w:rPr>
      </w:pPr>
      <w:r>
        <w:rPr>
          <w:rFonts w:eastAsia="宋体" w:cs="Arial"/>
          <w:b/>
        </w:rPr>
        <w:t>The misalignment between RAN2 and RAN3 should be solved.</w:t>
      </w:r>
    </w:p>
    <w:p w14:paraId="139A824B" w14:textId="767F6B13" w:rsidR="00EA7BE7" w:rsidRDefault="00EA7BE7" w:rsidP="00837D48">
      <w:pPr>
        <w:overflowPunct/>
        <w:autoSpaceDE/>
        <w:autoSpaceDN/>
        <w:adjustRightInd/>
        <w:spacing w:after="0"/>
        <w:textAlignment w:val="auto"/>
        <w:rPr>
          <w:rFonts w:eastAsia="宋体" w:cs="Arial"/>
        </w:rPr>
      </w:pPr>
    </w:p>
    <w:p w14:paraId="1AA724C3" w14:textId="2E6FF170" w:rsidR="00187DA0" w:rsidRDefault="00EA7BE7" w:rsidP="00187DA0">
      <w:pPr>
        <w:overflowPunct/>
        <w:autoSpaceDE/>
        <w:autoSpaceDN/>
        <w:adjustRightInd/>
        <w:spacing w:after="0"/>
        <w:textAlignment w:val="auto"/>
        <w:rPr>
          <w:rFonts w:eastAsia="宋体" w:cs="Arial"/>
          <w:b/>
        </w:rPr>
      </w:pPr>
      <w:r>
        <w:rPr>
          <w:rFonts w:eastAsia="宋体" w:cs="Arial" w:hint="eastAsia"/>
        </w:rPr>
        <w:t>I</w:t>
      </w:r>
      <w:r>
        <w:rPr>
          <w:rFonts w:eastAsia="宋体" w:cs="Arial"/>
        </w:rPr>
        <w:t xml:space="preserve">n general, we think RAN3 agreement is not reasonable.  Firstly, TAC is allocated by CN entities. </w:t>
      </w:r>
      <w:r w:rsidR="00187DA0">
        <w:rPr>
          <w:rFonts w:eastAsia="宋体" w:cs="Arial"/>
        </w:rPr>
        <w:t xml:space="preserve">If ng-eNB use legacy TAC, it </w:t>
      </w:r>
      <w:proofErr w:type="gramStart"/>
      <w:r w:rsidR="00187DA0">
        <w:rPr>
          <w:rFonts w:eastAsia="宋体" w:cs="Arial"/>
        </w:rPr>
        <w:t>mean</w:t>
      </w:r>
      <w:proofErr w:type="gramEnd"/>
      <w:r w:rsidR="00187DA0">
        <w:rPr>
          <w:rFonts w:eastAsia="宋体" w:cs="Arial"/>
        </w:rPr>
        <w:t xml:space="preserve"> 5GC allocates 4G TAC which seems strange.</w:t>
      </w:r>
      <w:r>
        <w:rPr>
          <w:rFonts w:eastAsia="宋体" w:cs="Arial"/>
        </w:rPr>
        <w:t xml:space="preserve"> </w:t>
      </w:r>
    </w:p>
    <w:p w14:paraId="00AB5132" w14:textId="5B633D51" w:rsidR="00187DA0" w:rsidRPr="003E69D8" w:rsidRDefault="00187DA0" w:rsidP="007739A3">
      <w:pPr>
        <w:pStyle w:val="af7"/>
        <w:numPr>
          <w:ilvl w:val="0"/>
          <w:numId w:val="10"/>
        </w:numPr>
        <w:overflowPunct/>
        <w:autoSpaceDE/>
        <w:autoSpaceDN/>
        <w:adjustRightInd/>
        <w:spacing w:after="0"/>
        <w:textAlignment w:val="auto"/>
        <w:rPr>
          <w:rFonts w:eastAsia="宋体" w:cs="Arial"/>
          <w:b/>
        </w:rPr>
      </w:pPr>
      <w:r>
        <w:rPr>
          <w:rFonts w:eastAsia="宋体" w:cs="Arial"/>
          <w:b/>
        </w:rPr>
        <w:t>It is not reasonable to allocate 4G TAC for ng-eNB when it connects to 5GC</w:t>
      </w:r>
      <w:r w:rsidRPr="003E69D8">
        <w:rPr>
          <w:rFonts w:eastAsia="宋体" w:cs="Arial"/>
          <w:b/>
        </w:rPr>
        <w:t>.</w:t>
      </w:r>
    </w:p>
    <w:p w14:paraId="262675ED" w14:textId="77777777" w:rsidR="00187DA0" w:rsidRDefault="00187DA0" w:rsidP="00EA7BE7">
      <w:pPr>
        <w:overflowPunct/>
        <w:autoSpaceDE/>
        <w:autoSpaceDN/>
        <w:adjustRightInd/>
        <w:spacing w:after="0"/>
        <w:textAlignment w:val="auto"/>
        <w:rPr>
          <w:rFonts w:eastAsia="宋体" w:cs="Arial"/>
        </w:rPr>
      </w:pPr>
    </w:p>
    <w:p w14:paraId="095E29B8" w14:textId="1134EB19" w:rsidR="00187DA0" w:rsidRDefault="00187DA0" w:rsidP="00EA7BE7">
      <w:pPr>
        <w:overflowPunct/>
        <w:autoSpaceDE/>
        <w:autoSpaceDN/>
        <w:adjustRightInd/>
        <w:spacing w:after="0"/>
        <w:textAlignment w:val="auto"/>
        <w:rPr>
          <w:rFonts w:eastAsia="宋体" w:cs="Arial"/>
        </w:rPr>
      </w:pPr>
      <w:r>
        <w:rPr>
          <w:rFonts w:eastAsia="宋体" w:cs="Arial"/>
        </w:rPr>
        <w:t xml:space="preserve">Secondly, there are benefits to idle mode mobility between LTE/5GC and NR/5GC if ng-eNB can use new TAC format.  If ng-eNB and gNB can use the same TAC format, it is possible to allocated ng-eNB and gNB into the same TA if they belong to the same PLMN.  In this case, idle mode mobility between ng-eNB and gNB cells would not cause TAU which can save UE signalling.  Having different TAC sizes make it impossible </w:t>
      </w:r>
      <w:r w:rsidRPr="00187DA0">
        <w:rPr>
          <w:rFonts w:eastAsia="宋体" w:cs="Arial"/>
        </w:rPr>
        <w:t xml:space="preserve">for LTE eNB (including ng-eNB) and gNB to be allocated within the same TA which </w:t>
      </w:r>
      <w:r>
        <w:rPr>
          <w:rFonts w:eastAsia="宋体" w:cs="Arial"/>
        </w:rPr>
        <w:t>prevent</w:t>
      </w:r>
      <w:r w:rsidRPr="00187DA0">
        <w:rPr>
          <w:rFonts w:eastAsia="宋体" w:cs="Arial"/>
        </w:rPr>
        <w:t xml:space="preserve"> UE to save TAU at least for idle mode UEs.</w:t>
      </w:r>
    </w:p>
    <w:p w14:paraId="1F73D221" w14:textId="4D5C3666" w:rsidR="00187DA0" w:rsidRPr="00187DA0" w:rsidRDefault="00187DA0" w:rsidP="007739A3">
      <w:pPr>
        <w:pStyle w:val="af7"/>
        <w:numPr>
          <w:ilvl w:val="0"/>
          <w:numId w:val="10"/>
        </w:numPr>
        <w:overflowPunct/>
        <w:autoSpaceDE/>
        <w:autoSpaceDN/>
        <w:adjustRightInd/>
        <w:spacing w:after="0"/>
        <w:textAlignment w:val="auto"/>
        <w:rPr>
          <w:rFonts w:eastAsia="宋体" w:cs="Arial"/>
          <w:b/>
        </w:rPr>
      </w:pPr>
      <w:r w:rsidRPr="00187DA0">
        <w:rPr>
          <w:rFonts w:eastAsia="宋体" w:cs="Arial"/>
          <w:b/>
        </w:rPr>
        <w:lastRenderedPageBreak/>
        <w:t>Having different TAC sizes make it impossible for LTE eNB (including ng-eNB) and gNB to be allocated within the same TA which prevent UE to save TAU at least for idle mode UEs.</w:t>
      </w:r>
    </w:p>
    <w:p w14:paraId="61CD2846" w14:textId="77777777" w:rsidR="00187DA0" w:rsidRDefault="00187DA0" w:rsidP="00EA7BE7">
      <w:pPr>
        <w:overflowPunct/>
        <w:autoSpaceDE/>
        <w:autoSpaceDN/>
        <w:adjustRightInd/>
        <w:spacing w:after="0"/>
        <w:textAlignment w:val="auto"/>
        <w:rPr>
          <w:rFonts w:eastAsia="宋体" w:cs="Arial"/>
        </w:rPr>
      </w:pPr>
    </w:p>
    <w:p w14:paraId="07272D4A" w14:textId="3B8900F7" w:rsidR="00EA7BE7" w:rsidRDefault="00EA7BE7" w:rsidP="00EA7BE7">
      <w:pPr>
        <w:overflowPunct/>
        <w:autoSpaceDE/>
        <w:autoSpaceDN/>
        <w:adjustRightInd/>
        <w:spacing w:after="0"/>
        <w:textAlignment w:val="auto"/>
        <w:rPr>
          <w:rFonts w:eastAsia="宋体" w:cs="Arial"/>
        </w:rPr>
      </w:pPr>
      <w:r>
        <w:rPr>
          <w:rFonts w:eastAsia="宋体" w:cs="Arial"/>
        </w:rPr>
        <w:t xml:space="preserve">Thirdly, there are no benefits to allocate the same TAC for ng-eNB in </w:t>
      </w:r>
      <w:r w:rsidR="00187DA0">
        <w:rPr>
          <w:rFonts w:eastAsia="宋体" w:cs="Arial"/>
        </w:rPr>
        <w:t>LTE/</w:t>
      </w:r>
      <w:r>
        <w:rPr>
          <w:rFonts w:eastAsia="宋体" w:cs="Arial"/>
        </w:rPr>
        <w:t xml:space="preserve">EPC and </w:t>
      </w:r>
      <w:r w:rsidR="00187DA0">
        <w:rPr>
          <w:rFonts w:eastAsia="宋体" w:cs="Arial"/>
        </w:rPr>
        <w:t>LTE/</w:t>
      </w:r>
      <w:r>
        <w:rPr>
          <w:rFonts w:eastAsia="宋体" w:cs="Arial"/>
        </w:rPr>
        <w:t xml:space="preserve">5GC.  The reason is that idle mode mobility between </w:t>
      </w:r>
      <w:r w:rsidR="00187DA0">
        <w:rPr>
          <w:rFonts w:eastAsia="宋体" w:cs="Arial"/>
        </w:rPr>
        <w:t>LTE/</w:t>
      </w:r>
      <w:r>
        <w:rPr>
          <w:rFonts w:eastAsia="宋体" w:cs="Arial"/>
        </w:rPr>
        <w:t xml:space="preserve">EPC and </w:t>
      </w:r>
      <w:r w:rsidR="00187DA0">
        <w:rPr>
          <w:rFonts w:eastAsia="宋体" w:cs="Arial"/>
        </w:rPr>
        <w:t>LTE/</w:t>
      </w:r>
      <w:r>
        <w:rPr>
          <w:rFonts w:eastAsia="宋体" w:cs="Arial"/>
        </w:rPr>
        <w:t xml:space="preserve">5GC </w:t>
      </w:r>
      <w:r w:rsidR="00187DA0">
        <w:rPr>
          <w:rFonts w:eastAsia="宋体" w:cs="Arial"/>
        </w:rPr>
        <w:t xml:space="preserve">would anyway cause NAS entity change in UE and in most cases, if UE is not dual registered, there will be registration procedure or TAU.  Thus, maintaining the same TAC format for ng-eNB to </w:t>
      </w:r>
      <w:proofErr w:type="gramStart"/>
      <w:r w:rsidR="00187DA0">
        <w:rPr>
          <w:rFonts w:eastAsia="宋体" w:cs="Arial"/>
        </w:rPr>
        <w:t>be connected with</w:t>
      </w:r>
      <w:proofErr w:type="gramEnd"/>
      <w:r w:rsidR="00187DA0">
        <w:rPr>
          <w:rFonts w:eastAsia="宋体" w:cs="Arial"/>
        </w:rPr>
        <w:t xml:space="preserve"> EPC and 5GC may not provide any gain.</w:t>
      </w:r>
    </w:p>
    <w:p w14:paraId="11F6C67F" w14:textId="4329A38B" w:rsidR="005E6BC9" w:rsidRDefault="005E6BC9" w:rsidP="00EA7BE7">
      <w:pPr>
        <w:overflowPunct/>
        <w:autoSpaceDE/>
        <w:autoSpaceDN/>
        <w:adjustRightInd/>
        <w:spacing w:after="0"/>
        <w:textAlignment w:val="auto"/>
        <w:rPr>
          <w:rFonts w:eastAsia="宋体" w:cs="Arial"/>
        </w:rPr>
      </w:pPr>
    </w:p>
    <w:p w14:paraId="5DB45C11" w14:textId="716DC50B" w:rsidR="005E6BC9" w:rsidRPr="00187DA0" w:rsidRDefault="005E6BC9" w:rsidP="007739A3">
      <w:pPr>
        <w:pStyle w:val="af7"/>
        <w:numPr>
          <w:ilvl w:val="0"/>
          <w:numId w:val="10"/>
        </w:numPr>
        <w:overflowPunct/>
        <w:autoSpaceDE/>
        <w:autoSpaceDN/>
        <w:adjustRightInd/>
        <w:spacing w:after="0"/>
        <w:textAlignment w:val="auto"/>
        <w:rPr>
          <w:rFonts w:eastAsia="宋体" w:cs="Arial"/>
          <w:b/>
        </w:rPr>
      </w:pPr>
      <w:r>
        <w:rPr>
          <w:rFonts w:eastAsia="宋体" w:cs="Arial"/>
          <w:b/>
        </w:rPr>
        <w:t xml:space="preserve">There are no benefits to </w:t>
      </w:r>
      <w:r w:rsidR="0060761F">
        <w:rPr>
          <w:rFonts w:eastAsia="宋体" w:cs="Arial"/>
          <w:b/>
        </w:rPr>
        <w:t xml:space="preserve">have same TAC for </w:t>
      </w:r>
      <w:r>
        <w:rPr>
          <w:rFonts w:eastAsia="宋体" w:cs="Arial"/>
          <w:b/>
        </w:rPr>
        <w:t>idle mode</w:t>
      </w:r>
      <w:r w:rsidRPr="00187DA0">
        <w:rPr>
          <w:rFonts w:eastAsia="宋体" w:cs="Arial"/>
          <w:b/>
        </w:rPr>
        <w:t xml:space="preserve"> UE</w:t>
      </w:r>
      <w:r>
        <w:rPr>
          <w:rFonts w:eastAsia="宋体" w:cs="Arial"/>
          <w:b/>
        </w:rPr>
        <w:t xml:space="preserve"> mobility between LTE/EPC and LTE/5GC since the switching between different NAS entity may cause registration procedure unless dual registered.</w:t>
      </w:r>
    </w:p>
    <w:p w14:paraId="72D68FD4" w14:textId="7E7DF91C" w:rsidR="00182675" w:rsidRDefault="00182675" w:rsidP="00EA7BE7">
      <w:pPr>
        <w:overflowPunct/>
        <w:autoSpaceDE/>
        <w:autoSpaceDN/>
        <w:adjustRightInd/>
        <w:spacing w:after="0"/>
        <w:textAlignment w:val="auto"/>
        <w:rPr>
          <w:rFonts w:eastAsia="宋体" w:cs="Arial"/>
        </w:rPr>
      </w:pPr>
    </w:p>
    <w:p w14:paraId="41CA988A" w14:textId="7311C5FF" w:rsidR="00E73320" w:rsidRDefault="00E73320" w:rsidP="00EA7BE7">
      <w:pPr>
        <w:overflowPunct/>
        <w:autoSpaceDE/>
        <w:autoSpaceDN/>
        <w:adjustRightInd/>
        <w:spacing w:after="0"/>
        <w:textAlignment w:val="auto"/>
        <w:rPr>
          <w:rFonts w:eastAsia="宋体" w:cs="Arial"/>
        </w:rPr>
      </w:pPr>
      <w:r>
        <w:rPr>
          <w:rFonts w:eastAsia="宋体" w:cs="Arial" w:hint="eastAsia"/>
        </w:rPr>
        <w:t>F</w:t>
      </w:r>
      <w:r>
        <w:rPr>
          <w:rFonts w:eastAsia="宋体" w:cs="Arial"/>
        </w:rPr>
        <w:t>ourthly, if ng-</w:t>
      </w:r>
      <w:proofErr w:type="spellStart"/>
      <w:r>
        <w:rPr>
          <w:rFonts w:eastAsia="宋体" w:cs="Arial"/>
        </w:rPr>
        <w:t>eNB</w:t>
      </w:r>
      <w:proofErr w:type="spellEnd"/>
      <w:r>
        <w:rPr>
          <w:rFonts w:eastAsia="宋体" w:cs="Arial"/>
        </w:rPr>
        <w:t xml:space="preserve"> use the same TAC format as E-UTRAN, it also </w:t>
      </w:r>
      <w:proofErr w:type="gramStart"/>
      <w:r>
        <w:rPr>
          <w:rFonts w:eastAsia="宋体" w:cs="Arial"/>
        </w:rPr>
        <w:t>prevent</w:t>
      </w:r>
      <w:proofErr w:type="gramEnd"/>
      <w:r>
        <w:rPr>
          <w:rFonts w:eastAsia="宋体" w:cs="Arial"/>
        </w:rPr>
        <w:t xml:space="preserve"> the possibility to allocate a ng-</w:t>
      </w:r>
      <w:proofErr w:type="spellStart"/>
      <w:r>
        <w:rPr>
          <w:rFonts w:eastAsia="宋体" w:cs="Arial"/>
        </w:rPr>
        <w:t>eNB</w:t>
      </w:r>
      <w:proofErr w:type="spellEnd"/>
      <w:r>
        <w:rPr>
          <w:rFonts w:eastAsia="宋体" w:cs="Arial"/>
        </w:rPr>
        <w:t xml:space="preserve"> and </w:t>
      </w:r>
      <w:proofErr w:type="spellStart"/>
      <w:r>
        <w:rPr>
          <w:rFonts w:eastAsia="宋体" w:cs="Arial"/>
        </w:rPr>
        <w:t>neighboring</w:t>
      </w:r>
      <w:proofErr w:type="spellEnd"/>
      <w:r>
        <w:rPr>
          <w:rFonts w:eastAsia="宋体" w:cs="Arial"/>
        </w:rPr>
        <w:t xml:space="preserve"> gNB within the same RAN-based Notification Area because normally RAN-based Notification Area should not cross two tracking area.  Thus, it is not future-proof.</w:t>
      </w:r>
    </w:p>
    <w:p w14:paraId="0BE5B7F5" w14:textId="06CEF046" w:rsidR="00E73320" w:rsidRDefault="00E73320" w:rsidP="00EA7BE7">
      <w:pPr>
        <w:overflowPunct/>
        <w:autoSpaceDE/>
        <w:autoSpaceDN/>
        <w:adjustRightInd/>
        <w:spacing w:after="0"/>
        <w:textAlignment w:val="auto"/>
        <w:rPr>
          <w:rFonts w:eastAsia="宋体" w:cs="Arial"/>
        </w:rPr>
      </w:pPr>
    </w:p>
    <w:p w14:paraId="098C5E68" w14:textId="3CC49665" w:rsidR="00E73320" w:rsidRPr="00187DA0" w:rsidRDefault="00E73320" w:rsidP="00E73320">
      <w:pPr>
        <w:pStyle w:val="af7"/>
        <w:numPr>
          <w:ilvl w:val="0"/>
          <w:numId w:val="10"/>
        </w:numPr>
        <w:overflowPunct/>
        <w:autoSpaceDE/>
        <w:autoSpaceDN/>
        <w:adjustRightInd/>
        <w:spacing w:after="0"/>
        <w:textAlignment w:val="auto"/>
        <w:rPr>
          <w:rFonts w:eastAsia="宋体" w:cs="Arial"/>
          <w:b/>
        </w:rPr>
      </w:pPr>
      <w:r>
        <w:rPr>
          <w:rFonts w:eastAsia="宋体" w:cs="Arial"/>
          <w:b/>
        </w:rPr>
        <w:t>It is not future-proof for inactive state if ng-</w:t>
      </w:r>
      <w:proofErr w:type="spellStart"/>
      <w:r>
        <w:rPr>
          <w:rFonts w:eastAsia="宋体" w:cs="Arial"/>
          <w:b/>
        </w:rPr>
        <w:t>eBN</w:t>
      </w:r>
      <w:proofErr w:type="spellEnd"/>
      <w:r>
        <w:rPr>
          <w:rFonts w:eastAsia="宋体" w:cs="Arial"/>
          <w:b/>
        </w:rPr>
        <w:t xml:space="preserve"> use the same TAC format as E-UTRAN because it </w:t>
      </w:r>
      <w:r w:rsidR="006A2A77">
        <w:rPr>
          <w:rFonts w:eastAsia="宋体" w:cs="Arial"/>
          <w:b/>
        </w:rPr>
        <w:t>eliminates</w:t>
      </w:r>
      <w:r>
        <w:rPr>
          <w:rFonts w:eastAsia="宋体" w:cs="Arial"/>
          <w:b/>
        </w:rPr>
        <w:t xml:space="preserve"> the possibility to allocate ng-</w:t>
      </w:r>
      <w:proofErr w:type="spellStart"/>
      <w:r>
        <w:rPr>
          <w:rFonts w:eastAsia="宋体" w:cs="Arial"/>
          <w:b/>
        </w:rPr>
        <w:t>eNB</w:t>
      </w:r>
      <w:proofErr w:type="spellEnd"/>
      <w:r>
        <w:rPr>
          <w:rFonts w:eastAsia="宋体" w:cs="Arial"/>
          <w:b/>
        </w:rPr>
        <w:t xml:space="preserve"> and </w:t>
      </w:r>
      <w:proofErr w:type="spellStart"/>
      <w:r>
        <w:rPr>
          <w:rFonts w:eastAsia="宋体" w:cs="Arial"/>
          <w:b/>
        </w:rPr>
        <w:t>neighboring</w:t>
      </w:r>
      <w:proofErr w:type="spellEnd"/>
      <w:r>
        <w:rPr>
          <w:rFonts w:eastAsia="宋体" w:cs="Arial"/>
          <w:b/>
        </w:rPr>
        <w:t xml:space="preserve"> gNB within the same </w:t>
      </w:r>
      <w:r w:rsidR="006A2A77">
        <w:rPr>
          <w:rFonts w:eastAsia="宋体" w:cs="Arial"/>
          <w:b/>
        </w:rPr>
        <w:t>RAN-based Notification</w:t>
      </w:r>
      <w:r>
        <w:rPr>
          <w:rFonts w:eastAsia="宋体" w:cs="Arial"/>
          <w:b/>
        </w:rPr>
        <w:t xml:space="preserve"> </w:t>
      </w:r>
      <w:r w:rsidR="006A2A77">
        <w:rPr>
          <w:rFonts w:eastAsia="宋体" w:cs="Arial"/>
          <w:b/>
        </w:rPr>
        <w:t>A</w:t>
      </w:r>
      <w:r>
        <w:rPr>
          <w:rFonts w:eastAsia="宋体" w:cs="Arial"/>
          <w:b/>
        </w:rPr>
        <w:t>rea.</w:t>
      </w:r>
    </w:p>
    <w:p w14:paraId="483398E9" w14:textId="77777777" w:rsidR="00E73320" w:rsidRDefault="00E73320" w:rsidP="00EA7BE7">
      <w:pPr>
        <w:overflowPunct/>
        <w:autoSpaceDE/>
        <w:autoSpaceDN/>
        <w:adjustRightInd/>
        <w:spacing w:after="0"/>
        <w:textAlignment w:val="auto"/>
        <w:rPr>
          <w:rFonts w:eastAsia="宋体" w:cs="Arial"/>
        </w:rPr>
      </w:pPr>
    </w:p>
    <w:p w14:paraId="17999364" w14:textId="1A9E5E84" w:rsidR="00EA7BE7" w:rsidRDefault="00187DA0" w:rsidP="00837D48">
      <w:pPr>
        <w:overflowPunct/>
        <w:autoSpaceDE/>
        <w:autoSpaceDN/>
        <w:adjustRightInd/>
        <w:spacing w:after="0"/>
        <w:textAlignment w:val="auto"/>
        <w:rPr>
          <w:rFonts w:eastAsia="宋体" w:cs="Arial"/>
        </w:rPr>
      </w:pPr>
      <w:r>
        <w:rPr>
          <w:rFonts w:eastAsia="宋体" w:cs="Arial" w:hint="eastAsia"/>
        </w:rPr>
        <w:t>C</w:t>
      </w:r>
      <w:r>
        <w:rPr>
          <w:rFonts w:eastAsia="宋体" w:cs="Arial"/>
        </w:rPr>
        <w:t>onsidering the above analysis, we propose RAN2 to send LS to RAN3 and SA2 to indicated that RAN2 prefer ng-eNB to use different TAC format when connecting to EPC and 5GC.</w:t>
      </w:r>
    </w:p>
    <w:p w14:paraId="489CA540" w14:textId="3C7C640A" w:rsidR="00187DA0" w:rsidRDefault="00187DA0" w:rsidP="00837D48">
      <w:pPr>
        <w:overflowPunct/>
        <w:autoSpaceDE/>
        <w:autoSpaceDN/>
        <w:adjustRightInd/>
        <w:spacing w:after="0"/>
        <w:textAlignment w:val="auto"/>
        <w:rPr>
          <w:rFonts w:eastAsia="宋体" w:cs="Arial"/>
        </w:rPr>
      </w:pPr>
    </w:p>
    <w:p w14:paraId="0B169AAB" w14:textId="74A05DEA" w:rsidR="00187DA0" w:rsidRPr="00187DA0" w:rsidRDefault="005E6BC9" w:rsidP="007739A3">
      <w:pPr>
        <w:pStyle w:val="af7"/>
        <w:numPr>
          <w:ilvl w:val="0"/>
          <w:numId w:val="11"/>
        </w:numPr>
        <w:overflowPunct/>
        <w:autoSpaceDE/>
        <w:autoSpaceDN/>
        <w:adjustRightInd/>
        <w:spacing w:after="0"/>
        <w:textAlignment w:val="auto"/>
        <w:rPr>
          <w:rFonts w:eastAsia="宋体" w:cs="Arial"/>
          <w:b/>
        </w:rPr>
      </w:pPr>
      <w:r w:rsidRPr="005E6BC9">
        <w:rPr>
          <w:rFonts w:eastAsia="宋体" w:cs="Arial"/>
          <w:b/>
        </w:rPr>
        <w:t>RAN2 to send LS to RAN3 and SA2 to indicated that RAN2 prefer ng-eNB to use different TAC format when connecting to EPC and 5GC.</w:t>
      </w:r>
    </w:p>
    <w:p w14:paraId="1386260E" w14:textId="725EA9FD" w:rsidR="00905FD6" w:rsidRDefault="00905FD6" w:rsidP="00837D48">
      <w:pPr>
        <w:overflowPunct/>
        <w:autoSpaceDE/>
        <w:autoSpaceDN/>
        <w:adjustRightInd/>
        <w:spacing w:after="0"/>
        <w:textAlignment w:val="auto"/>
        <w:rPr>
          <w:rFonts w:eastAsia="宋体" w:cs="Arial"/>
        </w:rPr>
      </w:pPr>
    </w:p>
    <w:p w14:paraId="58F498BF" w14:textId="349FAE91" w:rsidR="00C01F33" w:rsidRPr="00CE0424" w:rsidRDefault="00C01F33" w:rsidP="00CE0424">
      <w:pPr>
        <w:pStyle w:val="1"/>
      </w:pPr>
      <w:r w:rsidRPr="00CE0424">
        <w:t>Conclusion</w:t>
      </w:r>
    </w:p>
    <w:p w14:paraId="6E8BCEC3" w14:textId="77777777" w:rsidR="00F433E3" w:rsidRDefault="00F433E3" w:rsidP="00A734F3">
      <w:pPr>
        <w:pStyle w:val="ab"/>
      </w:pPr>
      <w:r>
        <w:t>In this contribution, we discuss how UE determines the CN type and indicate to the ng-eNB and we have the following</w:t>
      </w:r>
      <w:r w:rsidR="008E065E" w:rsidRPr="00CE0424">
        <w:t>:</w:t>
      </w:r>
    </w:p>
    <w:p w14:paraId="561535A1" w14:textId="77777777" w:rsidR="005E6BC9" w:rsidRPr="003E69D8" w:rsidRDefault="005E6BC9" w:rsidP="007739A3">
      <w:pPr>
        <w:pStyle w:val="af7"/>
        <w:numPr>
          <w:ilvl w:val="0"/>
          <w:numId w:val="13"/>
        </w:numPr>
        <w:overflowPunct/>
        <w:autoSpaceDE/>
        <w:autoSpaceDN/>
        <w:adjustRightInd/>
        <w:spacing w:after="0"/>
        <w:textAlignment w:val="auto"/>
        <w:rPr>
          <w:rFonts w:eastAsia="宋体" w:cs="Arial"/>
          <w:b/>
        </w:rPr>
      </w:pPr>
      <w:r w:rsidRPr="003E69D8">
        <w:rPr>
          <w:rFonts w:eastAsia="宋体" w:cs="Arial"/>
          <w:b/>
        </w:rPr>
        <w:t>RAN3 agreement that ng-eNB shall use same TAC format as in E-UTRAN is conflicting with RAN2 agreement.</w:t>
      </w:r>
    </w:p>
    <w:p w14:paraId="3E187AF0" w14:textId="77777777" w:rsidR="005E6BC9" w:rsidRPr="003E69D8" w:rsidRDefault="005E6BC9" w:rsidP="007739A3">
      <w:pPr>
        <w:pStyle w:val="af7"/>
        <w:numPr>
          <w:ilvl w:val="0"/>
          <w:numId w:val="13"/>
        </w:numPr>
        <w:overflowPunct/>
        <w:autoSpaceDE/>
        <w:autoSpaceDN/>
        <w:adjustRightInd/>
        <w:spacing w:after="0"/>
        <w:textAlignment w:val="auto"/>
        <w:rPr>
          <w:rFonts w:eastAsia="宋体" w:cs="Arial"/>
          <w:b/>
        </w:rPr>
      </w:pPr>
      <w:r>
        <w:rPr>
          <w:rFonts w:eastAsia="宋体" w:cs="Arial"/>
          <w:b/>
        </w:rPr>
        <w:t>It is not reasonable to allocate 4G TAC for ng-eNB when it connects to 5GC</w:t>
      </w:r>
      <w:r w:rsidRPr="003E69D8">
        <w:rPr>
          <w:rFonts w:eastAsia="宋体" w:cs="Arial"/>
          <w:b/>
        </w:rPr>
        <w:t>.</w:t>
      </w:r>
    </w:p>
    <w:p w14:paraId="14B1EE5D" w14:textId="77777777" w:rsidR="005E6BC9" w:rsidRPr="00187DA0" w:rsidRDefault="005E6BC9" w:rsidP="007739A3">
      <w:pPr>
        <w:pStyle w:val="af7"/>
        <w:numPr>
          <w:ilvl w:val="0"/>
          <w:numId w:val="13"/>
        </w:numPr>
        <w:overflowPunct/>
        <w:autoSpaceDE/>
        <w:autoSpaceDN/>
        <w:adjustRightInd/>
        <w:spacing w:after="0"/>
        <w:textAlignment w:val="auto"/>
        <w:rPr>
          <w:rFonts w:eastAsia="宋体" w:cs="Arial"/>
          <w:b/>
        </w:rPr>
      </w:pPr>
      <w:r w:rsidRPr="00187DA0">
        <w:rPr>
          <w:rFonts w:eastAsia="宋体" w:cs="Arial"/>
          <w:b/>
        </w:rPr>
        <w:t>Having different TAC sizes make it impossible for LTE eNB (including ng-eNB) and gNB to be allocated within the same TA which prevent UE to save TAU at least for idle mode UEs.</w:t>
      </w:r>
    </w:p>
    <w:p w14:paraId="1811FD7C" w14:textId="3036F6AE" w:rsidR="005E6BC9" w:rsidRPr="00187DA0" w:rsidRDefault="005E6BC9" w:rsidP="007739A3">
      <w:pPr>
        <w:pStyle w:val="af7"/>
        <w:numPr>
          <w:ilvl w:val="0"/>
          <w:numId w:val="13"/>
        </w:numPr>
        <w:overflowPunct/>
        <w:autoSpaceDE/>
        <w:autoSpaceDN/>
        <w:adjustRightInd/>
        <w:spacing w:after="0"/>
        <w:textAlignment w:val="auto"/>
        <w:rPr>
          <w:rFonts w:eastAsia="宋体" w:cs="Arial"/>
          <w:b/>
        </w:rPr>
      </w:pPr>
      <w:r>
        <w:rPr>
          <w:rFonts w:eastAsia="宋体" w:cs="Arial"/>
          <w:b/>
        </w:rPr>
        <w:t xml:space="preserve">There are no benefits to </w:t>
      </w:r>
      <w:r w:rsidR="0060761F">
        <w:rPr>
          <w:rFonts w:eastAsia="宋体" w:cs="Arial"/>
          <w:b/>
        </w:rPr>
        <w:t xml:space="preserve">have same TAC for </w:t>
      </w:r>
      <w:r>
        <w:rPr>
          <w:rFonts w:eastAsia="宋体" w:cs="Arial"/>
          <w:b/>
        </w:rPr>
        <w:t>idle mode</w:t>
      </w:r>
      <w:r w:rsidRPr="00187DA0">
        <w:rPr>
          <w:rFonts w:eastAsia="宋体" w:cs="Arial"/>
          <w:b/>
        </w:rPr>
        <w:t xml:space="preserve"> UE</w:t>
      </w:r>
      <w:r>
        <w:rPr>
          <w:rFonts w:eastAsia="宋体" w:cs="Arial"/>
          <w:b/>
        </w:rPr>
        <w:t xml:space="preserve"> mobility between LTE/EPC and LTE/5GC since the switching between different NAS entity may cause registration procedure unless dual registered.</w:t>
      </w:r>
    </w:p>
    <w:p w14:paraId="05E6F699" w14:textId="7E72A4B1" w:rsidR="006A2A77" w:rsidRPr="00187DA0" w:rsidRDefault="006A2A77" w:rsidP="006A2A77">
      <w:pPr>
        <w:pStyle w:val="af7"/>
        <w:numPr>
          <w:ilvl w:val="0"/>
          <w:numId w:val="13"/>
        </w:numPr>
        <w:overflowPunct/>
        <w:autoSpaceDE/>
        <w:autoSpaceDN/>
        <w:adjustRightInd/>
        <w:spacing w:after="0"/>
        <w:textAlignment w:val="auto"/>
        <w:rPr>
          <w:rFonts w:eastAsia="宋体" w:cs="Arial"/>
          <w:b/>
        </w:rPr>
      </w:pPr>
      <w:r>
        <w:rPr>
          <w:rFonts w:eastAsia="宋体" w:cs="Arial"/>
          <w:b/>
        </w:rPr>
        <w:t>It is not future-proof for inactive state if ng-</w:t>
      </w:r>
      <w:proofErr w:type="spellStart"/>
      <w:r>
        <w:rPr>
          <w:rFonts w:eastAsia="宋体" w:cs="Arial"/>
          <w:b/>
        </w:rPr>
        <w:t>eBN</w:t>
      </w:r>
      <w:proofErr w:type="spellEnd"/>
      <w:r>
        <w:rPr>
          <w:rFonts w:eastAsia="宋体" w:cs="Arial"/>
          <w:b/>
        </w:rPr>
        <w:t xml:space="preserve"> use the same TAC format as E-UTRAN because it </w:t>
      </w:r>
      <w:r>
        <w:rPr>
          <w:rFonts w:eastAsia="宋体" w:cs="Arial"/>
          <w:b/>
        </w:rPr>
        <w:t>eliminates</w:t>
      </w:r>
      <w:r>
        <w:rPr>
          <w:rFonts w:eastAsia="宋体" w:cs="Arial"/>
          <w:b/>
        </w:rPr>
        <w:t xml:space="preserve"> the possibility to allocate ng-</w:t>
      </w:r>
      <w:proofErr w:type="spellStart"/>
      <w:r>
        <w:rPr>
          <w:rFonts w:eastAsia="宋体" w:cs="Arial"/>
          <w:b/>
        </w:rPr>
        <w:t>eNB</w:t>
      </w:r>
      <w:proofErr w:type="spellEnd"/>
      <w:r>
        <w:rPr>
          <w:rFonts w:eastAsia="宋体" w:cs="Arial"/>
          <w:b/>
        </w:rPr>
        <w:t xml:space="preserve"> and </w:t>
      </w:r>
      <w:proofErr w:type="spellStart"/>
      <w:r>
        <w:rPr>
          <w:rFonts w:eastAsia="宋体" w:cs="Arial"/>
          <w:b/>
        </w:rPr>
        <w:t>neighboring</w:t>
      </w:r>
      <w:proofErr w:type="spellEnd"/>
      <w:r>
        <w:rPr>
          <w:rFonts w:eastAsia="宋体" w:cs="Arial"/>
          <w:b/>
        </w:rPr>
        <w:t xml:space="preserve"> gNB within the same RAN-based Notification Area.</w:t>
      </w:r>
    </w:p>
    <w:p w14:paraId="7E2D1996" w14:textId="0F806088" w:rsidR="00F433E3" w:rsidRDefault="00F433E3" w:rsidP="00A734F3">
      <w:pPr>
        <w:pStyle w:val="ab"/>
        <w:rPr>
          <w:b/>
          <w:bCs/>
        </w:rPr>
      </w:pPr>
    </w:p>
    <w:p w14:paraId="4B03EC1D" w14:textId="708602E7" w:rsidR="005E6BC9" w:rsidRDefault="005E6BC9" w:rsidP="007739A3">
      <w:pPr>
        <w:pStyle w:val="ab"/>
        <w:numPr>
          <w:ilvl w:val="0"/>
          <w:numId w:val="12"/>
        </w:numPr>
        <w:rPr>
          <w:b/>
          <w:bCs/>
        </w:rPr>
      </w:pPr>
      <w:r>
        <w:rPr>
          <w:rFonts w:eastAsia="宋体" w:cs="Arial"/>
          <w:b/>
        </w:rPr>
        <w:t>The misalignment between RAN2 and RAN3 should be solved.</w:t>
      </w:r>
    </w:p>
    <w:p w14:paraId="2BD3BB09" w14:textId="473FC993" w:rsidR="005E6BC9" w:rsidRPr="00187DA0" w:rsidRDefault="005E6BC9" w:rsidP="007739A3">
      <w:pPr>
        <w:pStyle w:val="af7"/>
        <w:numPr>
          <w:ilvl w:val="0"/>
          <w:numId w:val="12"/>
        </w:numPr>
        <w:overflowPunct/>
        <w:autoSpaceDE/>
        <w:autoSpaceDN/>
        <w:adjustRightInd/>
        <w:spacing w:after="0"/>
        <w:textAlignment w:val="auto"/>
        <w:rPr>
          <w:rFonts w:eastAsia="宋体" w:cs="Arial"/>
          <w:b/>
        </w:rPr>
      </w:pPr>
      <w:r w:rsidRPr="005E6BC9">
        <w:rPr>
          <w:rFonts w:eastAsia="宋体" w:cs="Arial"/>
          <w:b/>
        </w:rPr>
        <w:t>RAN2 to send LS to RAN3 and SA2 to indicated that RAN2 prefer ng-eNB to use different TAC format when connecting to EPC and 5GC.</w:t>
      </w:r>
    </w:p>
    <w:p w14:paraId="3EA8E563" w14:textId="22D57C6B" w:rsidR="00F507D1" w:rsidRPr="00CE0424" w:rsidRDefault="00F507D1" w:rsidP="00340FEC">
      <w:pPr>
        <w:pStyle w:val="1"/>
      </w:pPr>
      <w:bookmarkStart w:id="1" w:name="_In-sequence_SDU_delivery"/>
      <w:bookmarkEnd w:id="1"/>
      <w:r w:rsidRPr="00CE0424">
        <w:t>References</w:t>
      </w:r>
    </w:p>
    <w:p w14:paraId="2046B8C9" w14:textId="4F3809CE" w:rsidR="00100602" w:rsidRDefault="00196865" w:rsidP="00F41286">
      <w:pPr>
        <w:pStyle w:val="Reference"/>
      </w:pPr>
      <w:r>
        <w:rPr>
          <w:rFonts w:hint="eastAsia"/>
        </w:rPr>
        <w:t>R</w:t>
      </w:r>
      <w:r>
        <w:t>AN2#101 chairman notes.</w:t>
      </w:r>
    </w:p>
    <w:p w14:paraId="445E97AA" w14:textId="73BB9303" w:rsidR="00196865" w:rsidRDefault="00433F4E" w:rsidP="00064EB3">
      <w:pPr>
        <w:pStyle w:val="Reference"/>
      </w:pPr>
      <w:hyperlink r:id="rId8" w:tooltip="C:Data3GPPRAN2DocsR2-1801726.zip" w:history="1">
        <w:r w:rsidR="00196865" w:rsidRPr="00196865">
          <w:t>R2-1801726</w:t>
        </w:r>
      </w:hyperlink>
      <w:r w:rsidR="00196865">
        <w:tab/>
      </w:r>
      <w:r w:rsidR="006A2A77">
        <w:t xml:space="preserve"> </w:t>
      </w:r>
      <w:r w:rsidR="00196865">
        <w:t>LS on Extending TAC for NR and NG-RAN (R3-180634; contact: Ericsson)</w:t>
      </w:r>
      <w:r w:rsidR="00196865">
        <w:tab/>
        <w:t>RAN3</w:t>
      </w:r>
    </w:p>
    <w:sectPr w:rsidR="00196865">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A57A9" w14:textId="77777777" w:rsidR="00433F4E" w:rsidRDefault="00433F4E">
      <w:r>
        <w:separator/>
      </w:r>
    </w:p>
  </w:endnote>
  <w:endnote w:type="continuationSeparator" w:id="0">
    <w:p w14:paraId="38B0088A" w14:textId="77777777" w:rsidR="00433F4E" w:rsidRDefault="00433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B4AF5" w14:textId="7E2596BE" w:rsidR="009D3977" w:rsidRDefault="009D3977"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DD2800">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DD2800">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6D787" w14:textId="77777777" w:rsidR="00433F4E" w:rsidRDefault="00433F4E">
      <w:r>
        <w:separator/>
      </w:r>
    </w:p>
  </w:footnote>
  <w:footnote w:type="continuationSeparator" w:id="0">
    <w:p w14:paraId="0FE9DAA1" w14:textId="77777777" w:rsidR="00433F4E" w:rsidRDefault="00433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7F07F" w14:textId="77777777" w:rsidR="009D3977" w:rsidRDefault="009D397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2F1791"/>
    <w:multiLevelType w:val="hybridMultilevel"/>
    <w:tmpl w:val="9CBE8E32"/>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8B5BC4"/>
    <w:multiLevelType w:val="hybridMultilevel"/>
    <w:tmpl w:val="69DC9C1E"/>
    <w:lvl w:ilvl="0" w:tplc="E624811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CF2144"/>
    <w:multiLevelType w:val="hybridMultilevel"/>
    <w:tmpl w:val="AE14CA38"/>
    <w:lvl w:ilvl="0" w:tplc="E624811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5A1A67"/>
    <w:multiLevelType w:val="hybridMultilevel"/>
    <w:tmpl w:val="50343956"/>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30F200BE"/>
    <w:lvl w:ilvl="0" w:tplc="4120DBA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11"/>
  </w:num>
  <w:num w:numId="10">
    <w:abstractNumId w:val="1"/>
  </w:num>
  <w:num w:numId="11">
    <w:abstractNumId w:val="2"/>
  </w:num>
  <w:num w:numId="12">
    <w:abstractNumId w:val="3"/>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qkFAJx7akwtAAAA"/>
  </w:docVars>
  <w:rsids>
    <w:rsidRoot w:val="004E3CFF"/>
    <w:rsid w:val="00000466"/>
    <w:rsid w:val="000006E1"/>
    <w:rsid w:val="00002A37"/>
    <w:rsid w:val="00006446"/>
    <w:rsid w:val="00006896"/>
    <w:rsid w:val="00007392"/>
    <w:rsid w:val="00007CDC"/>
    <w:rsid w:val="00011B28"/>
    <w:rsid w:val="00013950"/>
    <w:rsid w:val="000139FA"/>
    <w:rsid w:val="00014D9F"/>
    <w:rsid w:val="00015D15"/>
    <w:rsid w:val="00017E21"/>
    <w:rsid w:val="000247AC"/>
    <w:rsid w:val="0002564D"/>
    <w:rsid w:val="00025ECA"/>
    <w:rsid w:val="00026F49"/>
    <w:rsid w:val="000325B8"/>
    <w:rsid w:val="000343B8"/>
    <w:rsid w:val="0003484F"/>
    <w:rsid w:val="00034C15"/>
    <w:rsid w:val="00036BA1"/>
    <w:rsid w:val="000373A0"/>
    <w:rsid w:val="00040D2C"/>
    <w:rsid w:val="000422E2"/>
    <w:rsid w:val="00042F22"/>
    <w:rsid w:val="000444EF"/>
    <w:rsid w:val="000452C3"/>
    <w:rsid w:val="0004550C"/>
    <w:rsid w:val="00052A07"/>
    <w:rsid w:val="000534E3"/>
    <w:rsid w:val="0005606A"/>
    <w:rsid w:val="00057117"/>
    <w:rsid w:val="000616E7"/>
    <w:rsid w:val="0006487E"/>
    <w:rsid w:val="00065E1A"/>
    <w:rsid w:val="000677D1"/>
    <w:rsid w:val="00070D8C"/>
    <w:rsid w:val="00072811"/>
    <w:rsid w:val="00073B30"/>
    <w:rsid w:val="00077E5F"/>
    <w:rsid w:val="0008036A"/>
    <w:rsid w:val="00081AE6"/>
    <w:rsid w:val="00083D30"/>
    <w:rsid w:val="000855EB"/>
    <w:rsid w:val="00085B52"/>
    <w:rsid w:val="00085F54"/>
    <w:rsid w:val="000862DF"/>
    <w:rsid w:val="00086440"/>
    <w:rsid w:val="000866F2"/>
    <w:rsid w:val="0009009F"/>
    <w:rsid w:val="00091557"/>
    <w:rsid w:val="000924C1"/>
    <w:rsid w:val="000924F0"/>
    <w:rsid w:val="00093474"/>
    <w:rsid w:val="0009510F"/>
    <w:rsid w:val="000953CE"/>
    <w:rsid w:val="000A1B7B"/>
    <w:rsid w:val="000A56F2"/>
    <w:rsid w:val="000B180E"/>
    <w:rsid w:val="000B1DBA"/>
    <w:rsid w:val="000B2719"/>
    <w:rsid w:val="000B2BC9"/>
    <w:rsid w:val="000B3A8F"/>
    <w:rsid w:val="000B4AB9"/>
    <w:rsid w:val="000B58C3"/>
    <w:rsid w:val="000B5D79"/>
    <w:rsid w:val="000B61E9"/>
    <w:rsid w:val="000C165A"/>
    <w:rsid w:val="000C2E19"/>
    <w:rsid w:val="000C435B"/>
    <w:rsid w:val="000C73CE"/>
    <w:rsid w:val="000D0941"/>
    <w:rsid w:val="000D0D07"/>
    <w:rsid w:val="000D4797"/>
    <w:rsid w:val="000D7D14"/>
    <w:rsid w:val="000E0527"/>
    <w:rsid w:val="000E1E92"/>
    <w:rsid w:val="000E1F13"/>
    <w:rsid w:val="000F06D6"/>
    <w:rsid w:val="000F0EB1"/>
    <w:rsid w:val="000F1106"/>
    <w:rsid w:val="000F2942"/>
    <w:rsid w:val="000F3BE9"/>
    <w:rsid w:val="000F3F6C"/>
    <w:rsid w:val="000F6DF3"/>
    <w:rsid w:val="001005FF"/>
    <w:rsid w:val="00100602"/>
    <w:rsid w:val="00101EC7"/>
    <w:rsid w:val="00104283"/>
    <w:rsid w:val="001062FB"/>
    <w:rsid w:val="001063E6"/>
    <w:rsid w:val="00113CF4"/>
    <w:rsid w:val="001153EA"/>
    <w:rsid w:val="00115643"/>
    <w:rsid w:val="00115B88"/>
    <w:rsid w:val="00116765"/>
    <w:rsid w:val="00116819"/>
    <w:rsid w:val="00116BEF"/>
    <w:rsid w:val="001219F5"/>
    <w:rsid w:val="00121A20"/>
    <w:rsid w:val="0012377F"/>
    <w:rsid w:val="00124314"/>
    <w:rsid w:val="00126B4A"/>
    <w:rsid w:val="00127D17"/>
    <w:rsid w:val="0013241F"/>
    <w:rsid w:val="00132FD0"/>
    <w:rsid w:val="001344C0"/>
    <w:rsid w:val="001346FA"/>
    <w:rsid w:val="00135252"/>
    <w:rsid w:val="00137AA0"/>
    <w:rsid w:val="00137AB5"/>
    <w:rsid w:val="00137F0B"/>
    <w:rsid w:val="00150E8D"/>
    <w:rsid w:val="00151E23"/>
    <w:rsid w:val="001526E0"/>
    <w:rsid w:val="001551B5"/>
    <w:rsid w:val="00162D9B"/>
    <w:rsid w:val="001659C1"/>
    <w:rsid w:val="00170C86"/>
    <w:rsid w:val="00173A8E"/>
    <w:rsid w:val="0017741C"/>
    <w:rsid w:val="00177BF7"/>
    <w:rsid w:val="0018143F"/>
    <w:rsid w:val="00182675"/>
    <w:rsid w:val="00187A73"/>
    <w:rsid w:val="00187DA0"/>
    <w:rsid w:val="00190AC1"/>
    <w:rsid w:val="0019341A"/>
    <w:rsid w:val="00194E17"/>
    <w:rsid w:val="00196865"/>
    <w:rsid w:val="00197DF9"/>
    <w:rsid w:val="001A1987"/>
    <w:rsid w:val="001A2564"/>
    <w:rsid w:val="001A36F9"/>
    <w:rsid w:val="001A4FD3"/>
    <w:rsid w:val="001A6173"/>
    <w:rsid w:val="001A6CBA"/>
    <w:rsid w:val="001A71EB"/>
    <w:rsid w:val="001B047C"/>
    <w:rsid w:val="001B0D97"/>
    <w:rsid w:val="001B3A1C"/>
    <w:rsid w:val="001B5A5D"/>
    <w:rsid w:val="001C1CE5"/>
    <w:rsid w:val="001C2AAA"/>
    <w:rsid w:val="001C3D2A"/>
    <w:rsid w:val="001D3329"/>
    <w:rsid w:val="001D51BA"/>
    <w:rsid w:val="001D6342"/>
    <w:rsid w:val="001D6D53"/>
    <w:rsid w:val="001E4085"/>
    <w:rsid w:val="001E58E2"/>
    <w:rsid w:val="001E6495"/>
    <w:rsid w:val="001E6A35"/>
    <w:rsid w:val="001E6C46"/>
    <w:rsid w:val="001E7AED"/>
    <w:rsid w:val="001F1694"/>
    <w:rsid w:val="001F3916"/>
    <w:rsid w:val="001F4230"/>
    <w:rsid w:val="001F54C5"/>
    <w:rsid w:val="001F662C"/>
    <w:rsid w:val="001F7074"/>
    <w:rsid w:val="001F7A66"/>
    <w:rsid w:val="00200490"/>
    <w:rsid w:val="00201F3A"/>
    <w:rsid w:val="002034C5"/>
    <w:rsid w:val="00203EEA"/>
    <w:rsid w:val="00203F96"/>
    <w:rsid w:val="002069B2"/>
    <w:rsid w:val="00207FA3"/>
    <w:rsid w:val="002111EF"/>
    <w:rsid w:val="00214DA8"/>
    <w:rsid w:val="00215423"/>
    <w:rsid w:val="002158FA"/>
    <w:rsid w:val="00220600"/>
    <w:rsid w:val="00220E20"/>
    <w:rsid w:val="002224DB"/>
    <w:rsid w:val="00223FCB"/>
    <w:rsid w:val="00224B47"/>
    <w:rsid w:val="002252C3"/>
    <w:rsid w:val="00225C54"/>
    <w:rsid w:val="00230765"/>
    <w:rsid w:val="002319E4"/>
    <w:rsid w:val="00235632"/>
    <w:rsid w:val="00235872"/>
    <w:rsid w:val="00241559"/>
    <w:rsid w:val="00242C2B"/>
    <w:rsid w:val="002430EB"/>
    <w:rsid w:val="002435B3"/>
    <w:rsid w:val="002458EB"/>
    <w:rsid w:val="002500C8"/>
    <w:rsid w:val="00257543"/>
    <w:rsid w:val="002617E7"/>
    <w:rsid w:val="00264228"/>
    <w:rsid w:val="00264334"/>
    <w:rsid w:val="0026473E"/>
    <w:rsid w:val="00264C0F"/>
    <w:rsid w:val="00266214"/>
    <w:rsid w:val="00266C0D"/>
    <w:rsid w:val="00267C83"/>
    <w:rsid w:val="002702E8"/>
    <w:rsid w:val="0027144F"/>
    <w:rsid w:val="00271813"/>
    <w:rsid w:val="00271B14"/>
    <w:rsid w:val="00271F3A"/>
    <w:rsid w:val="00273278"/>
    <w:rsid w:val="002737F4"/>
    <w:rsid w:val="002805F5"/>
    <w:rsid w:val="002806A0"/>
    <w:rsid w:val="00280751"/>
    <w:rsid w:val="0028280A"/>
    <w:rsid w:val="002838E6"/>
    <w:rsid w:val="00286ACD"/>
    <w:rsid w:val="00287838"/>
    <w:rsid w:val="002907B5"/>
    <w:rsid w:val="00292EB7"/>
    <w:rsid w:val="00296227"/>
    <w:rsid w:val="00296F44"/>
    <w:rsid w:val="0029777D"/>
    <w:rsid w:val="002A055E"/>
    <w:rsid w:val="002A0818"/>
    <w:rsid w:val="002A1D4E"/>
    <w:rsid w:val="002A1D7A"/>
    <w:rsid w:val="002A2869"/>
    <w:rsid w:val="002A6E1F"/>
    <w:rsid w:val="002B24D6"/>
    <w:rsid w:val="002B2ED6"/>
    <w:rsid w:val="002B3381"/>
    <w:rsid w:val="002C1C90"/>
    <w:rsid w:val="002C41E6"/>
    <w:rsid w:val="002D071A"/>
    <w:rsid w:val="002D220E"/>
    <w:rsid w:val="002D2A51"/>
    <w:rsid w:val="002D34B2"/>
    <w:rsid w:val="002D4EF1"/>
    <w:rsid w:val="002D4F7D"/>
    <w:rsid w:val="002D7637"/>
    <w:rsid w:val="002E17F2"/>
    <w:rsid w:val="002E2DA4"/>
    <w:rsid w:val="002E6BCD"/>
    <w:rsid w:val="002E7CAE"/>
    <w:rsid w:val="002F2771"/>
    <w:rsid w:val="002F37A9"/>
    <w:rsid w:val="00301204"/>
    <w:rsid w:val="00301CE6"/>
    <w:rsid w:val="0030256B"/>
    <w:rsid w:val="0030501F"/>
    <w:rsid w:val="00307BA1"/>
    <w:rsid w:val="00311702"/>
    <w:rsid w:val="00311E82"/>
    <w:rsid w:val="00313FD6"/>
    <w:rsid w:val="003143BD"/>
    <w:rsid w:val="0031498A"/>
    <w:rsid w:val="0031543E"/>
    <w:rsid w:val="003203ED"/>
    <w:rsid w:val="00322C9F"/>
    <w:rsid w:val="00324D23"/>
    <w:rsid w:val="00331751"/>
    <w:rsid w:val="00334579"/>
    <w:rsid w:val="00335858"/>
    <w:rsid w:val="00336AAE"/>
    <w:rsid w:val="00336BDA"/>
    <w:rsid w:val="0034087B"/>
    <w:rsid w:val="00340FEC"/>
    <w:rsid w:val="00341E82"/>
    <w:rsid w:val="00342BD7"/>
    <w:rsid w:val="0034415E"/>
    <w:rsid w:val="00344166"/>
    <w:rsid w:val="00346DB5"/>
    <w:rsid w:val="003477B1"/>
    <w:rsid w:val="00350983"/>
    <w:rsid w:val="00351255"/>
    <w:rsid w:val="0035126A"/>
    <w:rsid w:val="00352DD6"/>
    <w:rsid w:val="00353410"/>
    <w:rsid w:val="00357380"/>
    <w:rsid w:val="003602D9"/>
    <w:rsid w:val="003604CE"/>
    <w:rsid w:val="00370E47"/>
    <w:rsid w:val="00372901"/>
    <w:rsid w:val="00373819"/>
    <w:rsid w:val="003742AC"/>
    <w:rsid w:val="00377CE1"/>
    <w:rsid w:val="00385942"/>
    <w:rsid w:val="00385BF0"/>
    <w:rsid w:val="003862E9"/>
    <w:rsid w:val="00387221"/>
    <w:rsid w:val="0039084D"/>
    <w:rsid w:val="003939FF"/>
    <w:rsid w:val="00394C29"/>
    <w:rsid w:val="00396290"/>
    <w:rsid w:val="003A10B7"/>
    <w:rsid w:val="003A1263"/>
    <w:rsid w:val="003A2223"/>
    <w:rsid w:val="003A2A0F"/>
    <w:rsid w:val="003A45A1"/>
    <w:rsid w:val="003A5B0A"/>
    <w:rsid w:val="003A6BAC"/>
    <w:rsid w:val="003A7EF3"/>
    <w:rsid w:val="003B159C"/>
    <w:rsid w:val="003B369F"/>
    <w:rsid w:val="003B36A3"/>
    <w:rsid w:val="003B4481"/>
    <w:rsid w:val="003B546B"/>
    <w:rsid w:val="003B7FE5"/>
    <w:rsid w:val="003C11C8"/>
    <w:rsid w:val="003C2702"/>
    <w:rsid w:val="003C7806"/>
    <w:rsid w:val="003D084C"/>
    <w:rsid w:val="003D109F"/>
    <w:rsid w:val="003D2478"/>
    <w:rsid w:val="003D3C45"/>
    <w:rsid w:val="003D4022"/>
    <w:rsid w:val="003D5B1F"/>
    <w:rsid w:val="003D60A6"/>
    <w:rsid w:val="003E15FA"/>
    <w:rsid w:val="003E31C9"/>
    <w:rsid w:val="003E5176"/>
    <w:rsid w:val="003E55E4"/>
    <w:rsid w:val="003E69D8"/>
    <w:rsid w:val="003E74E3"/>
    <w:rsid w:val="003F05C7"/>
    <w:rsid w:val="003F2CD4"/>
    <w:rsid w:val="003F3B4D"/>
    <w:rsid w:val="003F435A"/>
    <w:rsid w:val="003F6BBE"/>
    <w:rsid w:val="004000E8"/>
    <w:rsid w:val="00400A50"/>
    <w:rsid w:val="00402BD1"/>
    <w:rsid w:val="00402E2B"/>
    <w:rsid w:val="0040512B"/>
    <w:rsid w:val="00405CA5"/>
    <w:rsid w:val="00407BFC"/>
    <w:rsid w:val="00407CD3"/>
    <w:rsid w:val="00410134"/>
    <w:rsid w:val="004109C1"/>
    <w:rsid w:val="00410B72"/>
    <w:rsid w:val="00410F18"/>
    <w:rsid w:val="0041263E"/>
    <w:rsid w:val="00413506"/>
    <w:rsid w:val="00413AAC"/>
    <w:rsid w:val="00413E92"/>
    <w:rsid w:val="0041605E"/>
    <w:rsid w:val="00421105"/>
    <w:rsid w:val="004222CB"/>
    <w:rsid w:val="004242F4"/>
    <w:rsid w:val="00427248"/>
    <w:rsid w:val="004318CA"/>
    <w:rsid w:val="004323AF"/>
    <w:rsid w:val="00433F4E"/>
    <w:rsid w:val="004342EA"/>
    <w:rsid w:val="00437447"/>
    <w:rsid w:val="00440A19"/>
    <w:rsid w:val="00441A92"/>
    <w:rsid w:val="004421DB"/>
    <w:rsid w:val="004439D5"/>
    <w:rsid w:val="00444F56"/>
    <w:rsid w:val="00446488"/>
    <w:rsid w:val="00446CEE"/>
    <w:rsid w:val="0044700E"/>
    <w:rsid w:val="004517AA"/>
    <w:rsid w:val="00452CAC"/>
    <w:rsid w:val="00453918"/>
    <w:rsid w:val="00453CE7"/>
    <w:rsid w:val="00457565"/>
    <w:rsid w:val="00457B71"/>
    <w:rsid w:val="00463A36"/>
    <w:rsid w:val="00465DDE"/>
    <w:rsid w:val="004669E2"/>
    <w:rsid w:val="00470292"/>
    <w:rsid w:val="00470C31"/>
    <w:rsid w:val="00473330"/>
    <w:rsid w:val="004734D0"/>
    <w:rsid w:val="00473C03"/>
    <w:rsid w:val="0047556B"/>
    <w:rsid w:val="00477768"/>
    <w:rsid w:val="00490866"/>
    <w:rsid w:val="004912E1"/>
    <w:rsid w:val="0049275C"/>
    <w:rsid w:val="00492BC5"/>
    <w:rsid w:val="004941C4"/>
    <w:rsid w:val="00494ABC"/>
    <w:rsid w:val="00494CAD"/>
    <w:rsid w:val="004964F1"/>
    <w:rsid w:val="004A0906"/>
    <w:rsid w:val="004A16BC"/>
    <w:rsid w:val="004A2B94"/>
    <w:rsid w:val="004B5DE3"/>
    <w:rsid w:val="004B7C0C"/>
    <w:rsid w:val="004C242D"/>
    <w:rsid w:val="004C3898"/>
    <w:rsid w:val="004C6288"/>
    <w:rsid w:val="004D36B1"/>
    <w:rsid w:val="004D7EBD"/>
    <w:rsid w:val="004E2680"/>
    <w:rsid w:val="004E28F9"/>
    <w:rsid w:val="004E3923"/>
    <w:rsid w:val="004E3CFF"/>
    <w:rsid w:val="004E462E"/>
    <w:rsid w:val="004E56DC"/>
    <w:rsid w:val="004E654E"/>
    <w:rsid w:val="004E76F4"/>
    <w:rsid w:val="004E7A16"/>
    <w:rsid w:val="004F0B4E"/>
    <w:rsid w:val="004F0B6C"/>
    <w:rsid w:val="004F124F"/>
    <w:rsid w:val="004F2078"/>
    <w:rsid w:val="004F4DA3"/>
    <w:rsid w:val="004F50EE"/>
    <w:rsid w:val="00501824"/>
    <w:rsid w:val="00506557"/>
    <w:rsid w:val="0050677A"/>
    <w:rsid w:val="005074E1"/>
    <w:rsid w:val="005108D8"/>
    <w:rsid w:val="00510974"/>
    <w:rsid w:val="005116F9"/>
    <w:rsid w:val="005153A7"/>
    <w:rsid w:val="005161E2"/>
    <w:rsid w:val="0051694C"/>
    <w:rsid w:val="005171D2"/>
    <w:rsid w:val="005219CF"/>
    <w:rsid w:val="005253C6"/>
    <w:rsid w:val="005255E6"/>
    <w:rsid w:val="00534B59"/>
    <w:rsid w:val="005358DF"/>
    <w:rsid w:val="00536759"/>
    <w:rsid w:val="00536AEC"/>
    <w:rsid w:val="00537C62"/>
    <w:rsid w:val="00546970"/>
    <w:rsid w:val="00551922"/>
    <w:rsid w:val="00552A54"/>
    <w:rsid w:val="005532DE"/>
    <w:rsid w:val="00554E19"/>
    <w:rsid w:val="0056121F"/>
    <w:rsid w:val="00564E21"/>
    <w:rsid w:val="00572505"/>
    <w:rsid w:val="00575D23"/>
    <w:rsid w:val="00582809"/>
    <w:rsid w:val="0058798C"/>
    <w:rsid w:val="005900FA"/>
    <w:rsid w:val="005935A4"/>
    <w:rsid w:val="00594175"/>
    <w:rsid w:val="005948C2"/>
    <w:rsid w:val="00595DCA"/>
    <w:rsid w:val="005967E3"/>
    <w:rsid w:val="0059779B"/>
    <w:rsid w:val="005A209A"/>
    <w:rsid w:val="005A5597"/>
    <w:rsid w:val="005A662D"/>
    <w:rsid w:val="005B01EB"/>
    <w:rsid w:val="005B35D7"/>
    <w:rsid w:val="005B392A"/>
    <w:rsid w:val="005B3AA3"/>
    <w:rsid w:val="005B6F83"/>
    <w:rsid w:val="005C3D8D"/>
    <w:rsid w:val="005C693B"/>
    <w:rsid w:val="005C74FB"/>
    <w:rsid w:val="005D00D4"/>
    <w:rsid w:val="005D1602"/>
    <w:rsid w:val="005D2765"/>
    <w:rsid w:val="005D6174"/>
    <w:rsid w:val="005E385F"/>
    <w:rsid w:val="005E50E1"/>
    <w:rsid w:val="005E54EA"/>
    <w:rsid w:val="005E5B81"/>
    <w:rsid w:val="005E650D"/>
    <w:rsid w:val="005E6AA5"/>
    <w:rsid w:val="005E6BC9"/>
    <w:rsid w:val="005E6E8C"/>
    <w:rsid w:val="005E78FA"/>
    <w:rsid w:val="005F2890"/>
    <w:rsid w:val="005F2CB1"/>
    <w:rsid w:val="005F2FFC"/>
    <w:rsid w:val="005F3025"/>
    <w:rsid w:val="005F618C"/>
    <w:rsid w:val="005F6794"/>
    <w:rsid w:val="005F6F98"/>
    <w:rsid w:val="005F70BD"/>
    <w:rsid w:val="00600816"/>
    <w:rsid w:val="0060283C"/>
    <w:rsid w:val="00604F14"/>
    <w:rsid w:val="006056BF"/>
    <w:rsid w:val="00606789"/>
    <w:rsid w:val="0060761F"/>
    <w:rsid w:val="00610CB2"/>
    <w:rsid w:val="00611240"/>
    <w:rsid w:val="00611B83"/>
    <w:rsid w:val="00613257"/>
    <w:rsid w:val="0062018C"/>
    <w:rsid w:val="00620A71"/>
    <w:rsid w:val="00620D80"/>
    <w:rsid w:val="006218E6"/>
    <w:rsid w:val="006234A6"/>
    <w:rsid w:val="00630001"/>
    <w:rsid w:val="006311B3"/>
    <w:rsid w:val="0063284C"/>
    <w:rsid w:val="0063308C"/>
    <w:rsid w:val="00636398"/>
    <w:rsid w:val="0063677C"/>
    <w:rsid w:val="006368D3"/>
    <w:rsid w:val="006377EC"/>
    <w:rsid w:val="0064151F"/>
    <w:rsid w:val="00641533"/>
    <w:rsid w:val="006418FE"/>
    <w:rsid w:val="0064208D"/>
    <w:rsid w:val="00643475"/>
    <w:rsid w:val="0064396A"/>
    <w:rsid w:val="0064624E"/>
    <w:rsid w:val="00650AB9"/>
    <w:rsid w:val="0065492B"/>
    <w:rsid w:val="006556E1"/>
    <w:rsid w:val="00655733"/>
    <w:rsid w:val="00655ACD"/>
    <w:rsid w:val="00656A92"/>
    <w:rsid w:val="00656DDE"/>
    <w:rsid w:val="00657236"/>
    <w:rsid w:val="0066011D"/>
    <w:rsid w:val="0066047A"/>
    <w:rsid w:val="006607C0"/>
    <w:rsid w:val="006613A6"/>
    <w:rsid w:val="006627A2"/>
    <w:rsid w:val="006634E6"/>
    <w:rsid w:val="006637B1"/>
    <w:rsid w:val="006655EE"/>
    <w:rsid w:val="00667EE7"/>
    <w:rsid w:val="00670922"/>
    <w:rsid w:val="00670BE1"/>
    <w:rsid w:val="0067218F"/>
    <w:rsid w:val="006741F2"/>
    <w:rsid w:val="00674CC3"/>
    <w:rsid w:val="006757CB"/>
    <w:rsid w:val="00675C72"/>
    <w:rsid w:val="00675FA6"/>
    <w:rsid w:val="00676337"/>
    <w:rsid w:val="006771F9"/>
    <w:rsid w:val="006776D7"/>
    <w:rsid w:val="00681003"/>
    <w:rsid w:val="0068151B"/>
    <w:rsid w:val="006817C9"/>
    <w:rsid w:val="00683ECE"/>
    <w:rsid w:val="00691301"/>
    <w:rsid w:val="006923C6"/>
    <w:rsid w:val="00693792"/>
    <w:rsid w:val="00695FC2"/>
    <w:rsid w:val="00696949"/>
    <w:rsid w:val="00697052"/>
    <w:rsid w:val="006A2A77"/>
    <w:rsid w:val="006A3216"/>
    <w:rsid w:val="006A46FB"/>
    <w:rsid w:val="006A5E28"/>
    <w:rsid w:val="006A697B"/>
    <w:rsid w:val="006A7628"/>
    <w:rsid w:val="006A7AFF"/>
    <w:rsid w:val="006B1816"/>
    <w:rsid w:val="006B2099"/>
    <w:rsid w:val="006B3C1B"/>
    <w:rsid w:val="006B50CF"/>
    <w:rsid w:val="006B7F28"/>
    <w:rsid w:val="006C03B8"/>
    <w:rsid w:val="006C0DA5"/>
    <w:rsid w:val="006C5EAC"/>
    <w:rsid w:val="006C5EC9"/>
    <w:rsid w:val="006C6059"/>
    <w:rsid w:val="006C6942"/>
    <w:rsid w:val="006C7522"/>
    <w:rsid w:val="006D2017"/>
    <w:rsid w:val="006D6F08"/>
    <w:rsid w:val="006E062C"/>
    <w:rsid w:val="006E2501"/>
    <w:rsid w:val="006E28B7"/>
    <w:rsid w:val="006E2B95"/>
    <w:rsid w:val="006E3310"/>
    <w:rsid w:val="006E498F"/>
    <w:rsid w:val="006E4E39"/>
    <w:rsid w:val="006E565E"/>
    <w:rsid w:val="006E5F94"/>
    <w:rsid w:val="006E673D"/>
    <w:rsid w:val="006E6E27"/>
    <w:rsid w:val="006E7D3B"/>
    <w:rsid w:val="006F1B70"/>
    <w:rsid w:val="006F322B"/>
    <w:rsid w:val="006F341D"/>
    <w:rsid w:val="006F3620"/>
    <w:rsid w:val="006F3CDE"/>
    <w:rsid w:val="006F58D4"/>
    <w:rsid w:val="0070346E"/>
    <w:rsid w:val="007034FF"/>
    <w:rsid w:val="00703595"/>
    <w:rsid w:val="00704EDB"/>
    <w:rsid w:val="00706101"/>
    <w:rsid w:val="00707072"/>
    <w:rsid w:val="00707D61"/>
    <w:rsid w:val="00712287"/>
    <w:rsid w:val="00712772"/>
    <w:rsid w:val="0071341D"/>
    <w:rsid w:val="00713C21"/>
    <w:rsid w:val="007148D3"/>
    <w:rsid w:val="00715136"/>
    <w:rsid w:val="00715B9A"/>
    <w:rsid w:val="00726956"/>
    <w:rsid w:val="00726EA6"/>
    <w:rsid w:val="00727208"/>
    <w:rsid w:val="00727680"/>
    <w:rsid w:val="007348B1"/>
    <w:rsid w:val="00735097"/>
    <w:rsid w:val="007362A6"/>
    <w:rsid w:val="00736D7D"/>
    <w:rsid w:val="007374D4"/>
    <w:rsid w:val="00740E58"/>
    <w:rsid w:val="007445A0"/>
    <w:rsid w:val="0074524B"/>
    <w:rsid w:val="007479FB"/>
    <w:rsid w:val="00747D8B"/>
    <w:rsid w:val="00751228"/>
    <w:rsid w:val="00753719"/>
    <w:rsid w:val="00753F07"/>
    <w:rsid w:val="007542C5"/>
    <w:rsid w:val="007564E7"/>
    <w:rsid w:val="007571E1"/>
    <w:rsid w:val="007604B2"/>
    <w:rsid w:val="007618E6"/>
    <w:rsid w:val="00765281"/>
    <w:rsid w:val="00766BAD"/>
    <w:rsid w:val="00772F58"/>
    <w:rsid w:val="007739A3"/>
    <w:rsid w:val="007755F2"/>
    <w:rsid w:val="00776971"/>
    <w:rsid w:val="0077717B"/>
    <w:rsid w:val="0078177E"/>
    <w:rsid w:val="00782852"/>
    <w:rsid w:val="0078304C"/>
    <w:rsid w:val="00783673"/>
    <w:rsid w:val="00784F26"/>
    <w:rsid w:val="00785490"/>
    <w:rsid w:val="00785A8B"/>
    <w:rsid w:val="00787972"/>
    <w:rsid w:val="00792469"/>
    <w:rsid w:val="007925EA"/>
    <w:rsid w:val="00793CD8"/>
    <w:rsid w:val="007951C5"/>
    <w:rsid w:val="00795C92"/>
    <w:rsid w:val="00796231"/>
    <w:rsid w:val="007A1092"/>
    <w:rsid w:val="007A1CB3"/>
    <w:rsid w:val="007A306F"/>
    <w:rsid w:val="007A43A6"/>
    <w:rsid w:val="007A58A6"/>
    <w:rsid w:val="007B1004"/>
    <w:rsid w:val="007B3D2D"/>
    <w:rsid w:val="007B50AE"/>
    <w:rsid w:val="007B51DF"/>
    <w:rsid w:val="007B53CA"/>
    <w:rsid w:val="007C05DD"/>
    <w:rsid w:val="007C2A73"/>
    <w:rsid w:val="007C3B1D"/>
    <w:rsid w:val="007C3D18"/>
    <w:rsid w:val="007C60BF"/>
    <w:rsid w:val="007C6A07"/>
    <w:rsid w:val="007C75A1"/>
    <w:rsid w:val="007C77A5"/>
    <w:rsid w:val="007D04E5"/>
    <w:rsid w:val="007D5901"/>
    <w:rsid w:val="007D7526"/>
    <w:rsid w:val="007E4610"/>
    <w:rsid w:val="007E4715"/>
    <w:rsid w:val="007E505B"/>
    <w:rsid w:val="007E691B"/>
    <w:rsid w:val="007E7091"/>
    <w:rsid w:val="00803FAE"/>
    <w:rsid w:val="00804FC8"/>
    <w:rsid w:val="0080605F"/>
    <w:rsid w:val="00807786"/>
    <w:rsid w:val="00811FCB"/>
    <w:rsid w:val="00814BF0"/>
    <w:rsid w:val="00815163"/>
    <w:rsid w:val="008158D6"/>
    <w:rsid w:val="008165F5"/>
    <w:rsid w:val="00817196"/>
    <w:rsid w:val="008235DB"/>
    <w:rsid w:val="00823DA2"/>
    <w:rsid w:val="00824AB4"/>
    <w:rsid w:val="00825C2E"/>
    <w:rsid w:val="00825C42"/>
    <w:rsid w:val="00825D25"/>
    <w:rsid w:val="008269DE"/>
    <w:rsid w:val="00827206"/>
    <w:rsid w:val="00827D6F"/>
    <w:rsid w:val="00830087"/>
    <w:rsid w:val="008376AC"/>
    <w:rsid w:val="00837D48"/>
    <w:rsid w:val="008444E8"/>
    <w:rsid w:val="00844E80"/>
    <w:rsid w:val="00846FE7"/>
    <w:rsid w:val="00853B12"/>
    <w:rsid w:val="00853FD9"/>
    <w:rsid w:val="00854048"/>
    <w:rsid w:val="00856911"/>
    <w:rsid w:val="00865DD9"/>
    <w:rsid w:val="008677EC"/>
    <w:rsid w:val="008677FD"/>
    <w:rsid w:val="008706D4"/>
    <w:rsid w:val="00870F8A"/>
    <w:rsid w:val="008716EB"/>
    <w:rsid w:val="008719A4"/>
    <w:rsid w:val="00871D23"/>
    <w:rsid w:val="0087414C"/>
    <w:rsid w:val="00874312"/>
    <w:rsid w:val="0087437C"/>
    <w:rsid w:val="00875CD7"/>
    <w:rsid w:val="00876816"/>
    <w:rsid w:val="00876B4D"/>
    <w:rsid w:val="00877F18"/>
    <w:rsid w:val="008834EA"/>
    <w:rsid w:val="00890D00"/>
    <w:rsid w:val="008922C3"/>
    <w:rsid w:val="00894A88"/>
    <w:rsid w:val="00895386"/>
    <w:rsid w:val="00895C10"/>
    <w:rsid w:val="008A21FF"/>
    <w:rsid w:val="008A24B5"/>
    <w:rsid w:val="008A2CE2"/>
    <w:rsid w:val="008A30AC"/>
    <w:rsid w:val="008A44B8"/>
    <w:rsid w:val="008A51A8"/>
    <w:rsid w:val="008A54C7"/>
    <w:rsid w:val="008A7701"/>
    <w:rsid w:val="008A77D8"/>
    <w:rsid w:val="008B0483"/>
    <w:rsid w:val="008B120C"/>
    <w:rsid w:val="008B24A1"/>
    <w:rsid w:val="008B51A0"/>
    <w:rsid w:val="008B592A"/>
    <w:rsid w:val="008B7B5C"/>
    <w:rsid w:val="008C0C99"/>
    <w:rsid w:val="008C2017"/>
    <w:rsid w:val="008C4958"/>
    <w:rsid w:val="008C4BAA"/>
    <w:rsid w:val="008C6AE8"/>
    <w:rsid w:val="008C74C0"/>
    <w:rsid w:val="008C7573"/>
    <w:rsid w:val="008D1824"/>
    <w:rsid w:val="008D34F1"/>
    <w:rsid w:val="008D39D8"/>
    <w:rsid w:val="008D6D1A"/>
    <w:rsid w:val="008E065E"/>
    <w:rsid w:val="008E0927"/>
    <w:rsid w:val="008E1909"/>
    <w:rsid w:val="008E74D1"/>
    <w:rsid w:val="008E7DE2"/>
    <w:rsid w:val="008F1EAB"/>
    <w:rsid w:val="008F33DC"/>
    <w:rsid w:val="008F477F"/>
    <w:rsid w:val="00902161"/>
    <w:rsid w:val="00902350"/>
    <w:rsid w:val="0090336B"/>
    <w:rsid w:val="009053AA"/>
    <w:rsid w:val="00905FD6"/>
    <w:rsid w:val="00906939"/>
    <w:rsid w:val="00907486"/>
    <w:rsid w:val="00910B7D"/>
    <w:rsid w:val="00911DFB"/>
    <w:rsid w:val="009139D9"/>
    <w:rsid w:val="009145D9"/>
    <w:rsid w:val="00914AD8"/>
    <w:rsid w:val="00916079"/>
    <w:rsid w:val="00917CE9"/>
    <w:rsid w:val="0092074D"/>
    <w:rsid w:val="00920BF2"/>
    <w:rsid w:val="00922010"/>
    <w:rsid w:val="00930888"/>
    <w:rsid w:val="00931BD9"/>
    <w:rsid w:val="00932A3B"/>
    <w:rsid w:val="009368F3"/>
    <w:rsid w:val="00941636"/>
    <w:rsid w:val="00943742"/>
    <w:rsid w:val="00945C05"/>
    <w:rsid w:val="00946945"/>
    <w:rsid w:val="00947713"/>
    <w:rsid w:val="00950DE7"/>
    <w:rsid w:val="00952249"/>
    <w:rsid w:val="00953920"/>
    <w:rsid w:val="00953D47"/>
    <w:rsid w:val="00954B3E"/>
    <w:rsid w:val="0095681E"/>
    <w:rsid w:val="009572D4"/>
    <w:rsid w:val="00961921"/>
    <w:rsid w:val="0096430A"/>
    <w:rsid w:val="0096554B"/>
    <w:rsid w:val="0096584A"/>
    <w:rsid w:val="00966D0D"/>
    <w:rsid w:val="00966D37"/>
    <w:rsid w:val="00971F08"/>
    <w:rsid w:val="00973F0F"/>
    <w:rsid w:val="0097603D"/>
    <w:rsid w:val="00976949"/>
    <w:rsid w:val="00976E0D"/>
    <w:rsid w:val="00977246"/>
    <w:rsid w:val="00980477"/>
    <w:rsid w:val="00983A25"/>
    <w:rsid w:val="0098420C"/>
    <w:rsid w:val="00985253"/>
    <w:rsid w:val="009853B3"/>
    <w:rsid w:val="00990630"/>
    <w:rsid w:val="00991761"/>
    <w:rsid w:val="009922EB"/>
    <w:rsid w:val="00994DCA"/>
    <w:rsid w:val="009960EC"/>
    <w:rsid w:val="009970DD"/>
    <w:rsid w:val="009A0FBA"/>
    <w:rsid w:val="009A1601"/>
    <w:rsid w:val="009A1AA9"/>
    <w:rsid w:val="009A462D"/>
    <w:rsid w:val="009A5CBA"/>
    <w:rsid w:val="009A748A"/>
    <w:rsid w:val="009B0840"/>
    <w:rsid w:val="009B1F30"/>
    <w:rsid w:val="009B35FB"/>
    <w:rsid w:val="009B3AC2"/>
    <w:rsid w:val="009B4DF4"/>
    <w:rsid w:val="009B564E"/>
    <w:rsid w:val="009B7E87"/>
    <w:rsid w:val="009C26E5"/>
    <w:rsid w:val="009C3C83"/>
    <w:rsid w:val="009C403E"/>
    <w:rsid w:val="009C7426"/>
    <w:rsid w:val="009D3139"/>
    <w:rsid w:val="009D3977"/>
    <w:rsid w:val="009D4FF0"/>
    <w:rsid w:val="009D703C"/>
    <w:rsid w:val="009D718F"/>
    <w:rsid w:val="009D74A2"/>
    <w:rsid w:val="009E068F"/>
    <w:rsid w:val="009E14E0"/>
    <w:rsid w:val="009E35DB"/>
    <w:rsid w:val="009E47A3"/>
    <w:rsid w:val="009E6B78"/>
    <w:rsid w:val="009F08F3"/>
    <w:rsid w:val="009F282C"/>
    <w:rsid w:val="009F2891"/>
    <w:rsid w:val="009F344F"/>
    <w:rsid w:val="009F4BE3"/>
    <w:rsid w:val="009F6EB2"/>
    <w:rsid w:val="00A00027"/>
    <w:rsid w:val="00A031D8"/>
    <w:rsid w:val="00A048A8"/>
    <w:rsid w:val="00A04F49"/>
    <w:rsid w:val="00A13E54"/>
    <w:rsid w:val="00A14ADD"/>
    <w:rsid w:val="00A16632"/>
    <w:rsid w:val="00A16D45"/>
    <w:rsid w:val="00A17F63"/>
    <w:rsid w:val="00A20DE9"/>
    <w:rsid w:val="00A2193B"/>
    <w:rsid w:val="00A22C18"/>
    <w:rsid w:val="00A22DFC"/>
    <w:rsid w:val="00A22FD5"/>
    <w:rsid w:val="00A2351A"/>
    <w:rsid w:val="00A264A9"/>
    <w:rsid w:val="00A27785"/>
    <w:rsid w:val="00A30187"/>
    <w:rsid w:val="00A326AD"/>
    <w:rsid w:val="00A32B33"/>
    <w:rsid w:val="00A3448A"/>
    <w:rsid w:val="00A35085"/>
    <w:rsid w:val="00A36297"/>
    <w:rsid w:val="00A36C59"/>
    <w:rsid w:val="00A41E2B"/>
    <w:rsid w:val="00A4229A"/>
    <w:rsid w:val="00A45B74"/>
    <w:rsid w:val="00A47C03"/>
    <w:rsid w:val="00A52E1D"/>
    <w:rsid w:val="00A5735F"/>
    <w:rsid w:val="00A61499"/>
    <w:rsid w:val="00A62A77"/>
    <w:rsid w:val="00A63483"/>
    <w:rsid w:val="00A657D7"/>
    <w:rsid w:val="00A660AC"/>
    <w:rsid w:val="00A67E6C"/>
    <w:rsid w:val="00A71B99"/>
    <w:rsid w:val="00A734F3"/>
    <w:rsid w:val="00A739D0"/>
    <w:rsid w:val="00A741C7"/>
    <w:rsid w:val="00A761D4"/>
    <w:rsid w:val="00A77EC4"/>
    <w:rsid w:val="00A80859"/>
    <w:rsid w:val="00A84D86"/>
    <w:rsid w:val="00A92879"/>
    <w:rsid w:val="00A9442A"/>
    <w:rsid w:val="00A960DC"/>
    <w:rsid w:val="00AA016F"/>
    <w:rsid w:val="00AA1ED6"/>
    <w:rsid w:val="00AA357F"/>
    <w:rsid w:val="00AA51D6"/>
    <w:rsid w:val="00AB0BC8"/>
    <w:rsid w:val="00AB11CA"/>
    <w:rsid w:val="00AB14D9"/>
    <w:rsid w:val="00AB1907"/>
    <w:rsid w:val="00AB2543"/>
    <w:rsid w:val="00AB4AB8"/>
    <w:rsid w:val="00AB5692"/>
    <w:rsid w:val="00AB62DF"/>
    <w:rsid w:val="00AB655E"/>
    <w:rsid w:val="00AC007F"/>
    <w:rsid w:val="00AC2ECD"/>
    <w:rsid w:val="00AC3119"/>
    <w:rsid w:val="00AC49FB"/>
    <w:rsid w:val="00AC4F85"/>
    <w:rsid w:val="00AC5713"/>
    <w:rsid w:val="00AC59FF"/>
    <w:rsid w:val="00AC5A10"/>
    <w:rsid w:val="00AD0AA3"/>
    <w:rsid w:val="00AD378C"/>
    <w:rsid w:val="00AD3F94"/>
    <w:rsid w:val="00AD4A5A"/>
    <w:rsid w:val="00AD5542"/>
    <w:rsid w:val="00AD6AB6"/>
    <w:rsid w:val="00AE1ACA"/>
    <w:rsid w:val="00AE20B9"/>
    <w:rsid w:val="00AE27AC"/>
    <w:rsid w:val="00AE40E0"/>
    <w:rsid w:val="00AE4DBA"/>
    <w:rsid w:val="00AE4F07"/>
    <w:rsid w:val="00AF1C5D"/>
    <w:rsid w:val="00AF2498"/>
    <w:rsid w:val="00AF42D7"/>
    <w:rsid w:val="00B006FE"/>
    <w:rsid w:val="00B007CB"/>
    <w:rsid w:val="00B0110F"/>
    <w:rsid w:val="00B02AA9"/>
    <w:rsid w:val="00B02FA3"/>
    <w:rsid w:val="00B05084"/>
    <w:rsid w:val="00B06B32"/>
    <w:rsid w:val="00B141E9"/>
    <w:rsid w:val="00B157F9"/>
    <w:rsid w:val="00B20256"/>
    <w:rsid w:val="00B20D09"/>
    <w:rsid w:val="00B26E48"/>
    <w:rsid w:val="00B2763F"/>
    <w:rsid w:val="00B27AAC"/>
    <w:rsid w:val="00B27BC9"/>
    <w:rsid w:val="00B30929"/>
    <w:rsid w:val="00B372AA"/>
    <w:rsid w:val="00B40445"/>
    <w:rsid w:val="00B40E8C"/>
    <w:rsid w:val="00B41888"/>
    <w:rsid w:val="00B43CBD"/>
    <w:rsid w:val="00B43F8D"/>
    <w:rsid w:val="00B45A52"/>
    <w:rsid w:val="00B46175"/>
    <w:rsid w:val="00B56EDC"/>
    <w:rsid w:val="00B60C00"/>
    <w:rsid w:val="00B63238"/>
    <w:rsid w:val="00B664C7"/>
    <w:rsid w:val="00B70F3D"/>
    <w:rsid w:val="00B739F6"/>
    <w:rsid w:val="00B73E61"/>
    <w:rsid w:val="00B73FC4"/>
    <w:rsid w:val="00B81A6C"/>
    <w:rsid w:val="00B85DE5"/>
    <w:rsid w:val="00B86A76"/>
    <w:rsid w:val="00B90F73"/>
    <w:rsid w:val="00B93B59"/>
    <w:rsid w:val="00B93FAE"/>
    <w:rsid w:val="00B94049"/>
    <w:rsid w:val="00B9406A"/>
    <w:rsid w:val="00B978D0"/>
    <w:rsid w:val="00BA0914"/>
    <w:rsid w:val="00BA2280"/>
    <w:rsid w:val="00BA2A08"/>
    <w:rsid w:val="00BA3EF7"/>
    <w:rsid w:val="00BA5415"/>
    <w:rsid w:val="00BA56D2"/>
    <w:rsid w:val="00BA5B3D"/>
    <w:rsid w:val="00BA60FD"/>
    <w:rsid w:val="00BA76E0"/>
    <w:rsid w:val="00BB285E"/>
    <w:rsid w:val="00BB2A25"/>
    <w:rsid w:val="00BB388A"/>
    <w:rsid w:val="00BB51E9"/>
    <w:rsid w:val="00BB621E"/>
    <w:rsid w:val="00BC0FDC"/>
    <w:rsid w:val="00BC3053"/>
    <w:rsid w:val="00BC4D2E"/>
    <w:rsid w:val="00BD3F43"/>
    <w:rsid w:val="00BD3F79"/>
    <w:rsid w:val="00BD48AC"/>
    <w:rsid w:val="00BD5F1A"/>
    <w:rsid w:val="00BD696D"/>
    <w:rsid w:val="00BD6D79"/>
    <w:rsid w:val="00BE1234"/>
    <w:rsid w:val="00BE18A2"/>
    <w:rsid w:val="00BE2FA6"/>
    <w:rsid w:val="00BE333F"/>
    <w:rsid w:val="00BE7406"/>
    <w:rsid w:val="00BE7603"/>
    <w:rsid w:val="00BF3279"/>
    <w:rsid w:val="00BF74C7"/>
    <w:rsid w:val="00C015F1"/>
    <w:rsid w:val="00C01F33"/>
    <w:rsid w:val="00C02CC6"/>
    <w:rsid w:val="00C040F7"/>
    <w:rsid w:val="00C044AB"/>
    <w:rsid w:val="00C044DB"/>
    <w:rsid w:val="00C05706"/>
    <w:rsid w:val="00C07377"/>
    <w:rsid w:val="00C102D4"/>
    <w:rsid w:val="00C1038C"/>
    <w:rsid w:val="00C10478"/>
    <w:rsid w:val="00C12107"/>
    <w:rsid w:val="00C14D4B"/>
    <w:rsid w:val="00C154BB"/>
    <w:rsid w:val="00C22DF6"/>
    <w:rsid w:val="00C23F0F"/>
    <w:rsid w:val="00C279B5"/>
    <w:rsid w:val="00C27C45"/>
    <w:rsid w:val="00C362BE"/>
    <w:rsid w:val="00C3719D"/>
    <w:rsid w:val="00C417AE"/>
    <w:rsid w:val="00C451F5"/>
    <w:rsid w:val="00C46C77"/>
    <w:rsid w:val="00C470DF"/>
    <w:rsid w:val="00C53EA5"/>
    <w:rsid w:val="00C54995"/>
    <w:rsid w:val="00C54D41"/>
    <w:rsid w:val="00C554C9"/>
    <w:rsid w:val="00C60783"/>
    <w:rsid w:val="00C6229E"/>
    <w:rsid w:val="00C640F2"/>
    <w:rsid w:val="00C64672"/>
    <w:rsid w:val="00C70697"/>
    <w:rsid w:val="00C70BE0"/>
    <w:rsid w:val="00C72EF4"/>
    <w:rsid w:val="00C73C87"/>
    <w:rsid w:val="00C73EB7"/>
    <w:rsid w:val="00C75D2F"/>
    <w:rsid w:val="00C767BE"/>
    <w:rsid w:val="00C76E3C"/>
    <w:rsid w:val="00C81568"/>
    <w:rsid w:val="00C84538"/>
    <w:rsid w:val="00C85ED7"/>
    <w:rsid w:val="00C864AE"/>
    <w:rsid w:val="00C87981"/>
    <w:rsid w:val="00C9027A"/>
    <w:rsid w:val="00C9068E"/>
    <w:rsid w:val="00C92770"/>
    <w:rsid w:val="00C93C4B"/>
    <w:rsid w:val="00C944AB"/>
    <w:rsid w:val="00C95B40"/>
    <w:rsid w:val="00C97CC6"/>
    <w:rsid w:val="00C97E3C"/>
    <w:rsid w:val="00CA1ED8"/>
    <w:rsid w:val="00CA4E1C"/>
    <w:rsid w:val="00CB00AD"/>
    <w:rsid w:val="00CB1F63"/>
    <w:rsid w:val="00CB4D6A"/>
    <w:rsid w:val="00CB7170"/>
    <w:rsid w:val="00CC040E"/>
    <w:rsid w:val="00CC111F"/>
    <w:rsid w:val="00CC2011"/>
    <w:rsid w:val="00CC28ED"/>
    <w:rsid w:val="00CC36ED"/>
    <w:rsid w:val="00CC3EA0"/>
    <w:rsid w:val="00CC4784"/>
    <w:rsid w:val="00CC4EF7"/>
    <w:rsid w:val="00CC7B45"/>
    <w:rsid w:val="00CD1188"/>
    <w:rsid w:val="00CD1B3F"/>
    <w:rsid w:val="00CD2ED1"/>
    <w:rsid w:val="00CD337B"/>
    <w:rsid w:val="00CE0424"/>
    <w:rsid w:val="00CE2C8E"/>
    <w:rsid w:val="00CE4157"/>
    <w:rsid w:val="00CE7027"/>
    <w:rsid w:val="00CE7561"/>
    <w:rsid w:val="00CF1354"/>
    <w:rsid w:val="00CF3B1F"/>
    <w:rsid w:val="00CF3BF6"/>
    <w:rsid w:val="00CF57E0"/>
    <w:rsid w:val="00CF625B"/>
    <w:rsid w:val="00CF687E"/>
    <w:rsid w:val="00CF6A7A"/>
    <w:rsid w:val="00D00F3B"/>
    <w:rsid w:val="00D03199"/>
    <w:rsid w:val="00D0349B"/>
    <w:rsid w:val="00D04220"/>
    <w:rsid w:val="00D076B4"/>
    <w:rsid w:val="00D07DFB"/>
    <w:rsid w:val="00D10249"/>
    <w:rsid w:val="00D115C3"/>
    <w:rsid w:val="00D11897"/>
    <w:rsid w:val="00D13135"/>
    <w:rsid w:val="00D13E4E"/>
    <w:rsid w:val="00D239A7"/>
    <w:rsid w:val="00D23F47"/>
    <w:rsid w:val="00D26008"/>
    <w:rsid w:val="00D27CA9"/>
    <w:rsid w:val="00D302C2"/>
    <w:rsid w:val="00D36E71"/>
    <w:rsid w:val="00D37D87"/>
    <w:rsid w:val="00D40B33"/>
    <w:rsid w:val="00D4318F"/>
    <w:rsid w:val="00D438BF"/>
    <w:rsid w:val="00D440F8"/>
    <w:rsid w:val="00D546FF"/>
    <w:rsid w:val="00D55205"/>
    <w:rsid w:val="00D558AE"/>
    <w:rsid w:val="00D55AD5"/>
    <w:rsid w:val="00D55E50"/>
    <w:rsid w:val="00D56F72"/>
    <w:rsid w:val="00D576CA"/>
    <w:rsid w:val="00D605A4"/>
    <w:rsid w:val="00D61AF5"/>
    <w:rsid w:val="00D623F0"/>
    <w:rsid w:val="00D652B5"/>
    <w:rsid w:val="00D66155"/>
    <w:rsid w:val="00D67AA8"/>
    <w:rsid w:val="00D708B0"/>
    <w:rsid w:val="00D72375"/>
    <w:rsid w:val="00D72C9E"/>
    <w:rsid w:val="00D77B1D"/>
    <w:rsid w:val="00D8021F"/>
    <w:rsid w:val="00D80383"/>
    <w:rsid w:val="00D822AF"/>
    <w:rsid w:val="00D823C6"/>
    <w:rsid w:val="00D83DC7"/>
    <w:rsid w:val="00D86CA3"/>
    <w:rsid w:val="00D871CE"/>
    <w:rsid w:val="00D905A6"/>
    <w:rsid w:val="00D9196D"/>
    <w:rsid w:val="00D92982"/>
    <w:rsid w:val="00D94F18"/>
    <w:rsid w:val="00D95100"/>
    <w:rsid w:val="00DA1EA9"/>
    <w:rsid w:val="00DA305E"/>
    <w:rsid w:val="00DA34E6"/>
    <w:rsid w:val="00DA49A2"/>
    <w:rsid w:val="00DA5417"/>
    <w:rsid w:val="00DA56E8"/>
    <w:rsid w:val="00DB0A9F"/>
    <w:rsid w:val="00DB377D"/>
    <w:rsid w:val="00DB4376"/>
    <w:rsid w:val="00DC2B6D"/>
    <w:rsid w:val="00DC2D36"/>
    <w:rsid w:val="00DC4B03"/>
    <w:rsid w:val="00DC53EF"/>
    <w:rsid w:val="00DD2800"/>
    <w:rsid w:val="00DE5608"/>
    <w:rsid w:val="00DE58D0"/>
    <w:rsid w:val="00DE654F"/>
    <w:rsid w:val="00DF0B6E"/>
    <w:rsid w:val="00DF15E0"/>
    <w:rsid w:val="00DF2187"/>
    <w:rsid w:val="00DF37A0"/>
    <w:rsid w:val="00DF556F"/>
    <w:rsid w:val="00E0034A"/>
    <w:rsid w:val="00E04530"/>
    <w:rsid w:val="00E07177"/>
    <w:rsid w:val="00E104BC"/>
    <w:rsid w:val="00E1097C"/>
    <w:rsid w:val="00E110E7"/>
    <w:rsid w:val="00E11B20"/>
    <w:rsid w:val="00E178DD"/>
    <w:rsid w:val="00E17FA2"/>
    <w:rsid w:val="00E21AB0"/>
    <w:rsid w:val="00E22330"/>
    <w:rsid w:val="00E30B5A"/>
    <w:rsid w:val="00E3123D"/>
    <w:rsid w:val="00E31461"/>
    <w:rsid w:val="00E31D43"/>
    <w:rsid w:val="00E32608"/>
    <w:rsid w:val="00E34188"/>
    <w:rsid w:val="00E346F5"/>
    <w:rsid w:val="00E34B6E"/>
    <w:rsid w:val="00E35559"/>
    <w:rsid w:val="00E3723A"/>
    <w:rsid w:val="00E37860"/>
    <w:rsid w:val="00E4346F"/>
    <w:rsid w:val="00E44388"/>
    <w:rsid w:val="00E446F1"/>
    <w:rsid w:val="00E46886"/>
    <w:rsid w:val="00E46E29"/>
    <w:rsid w:val="00E47AEF"/>
    <w:rsid w:val="00E539C5"/>
    <w:rsid w:val="00E53B75"/>
    <w:rsid w:val="00E54070"/>
    <w:rsid w:val="00E54E3B"/>
    <w:rsid w:val="00E57565"/>
    <w:rsid w:val="00E63838"/>
    <w:rsid w:val="00E64434"/>
    <w:rsid w:val="00E66FE1"/>
    <w:rsid w:val="00E67C51"/>
    <w:rsid w:val="00E7046B"/>
    <w:rsid w:val="00E72EFC"/>
    <w:rsid w:val="00E73320"/>
    <w:rsid w:val="00E73D0E"/>
    <w:rsid w:val="00E74235"/>
    <w:rsid w:val="00E74E72"/>
    <w:rsid w:val="00E758EC"/>
    <w:rsid w:val="00E8234C"/>
    <w:rsid w:val="00E83AA9"/>
    <w:rsid w:val="00E8575C"/>
    <w:rsid w:val="00E85928"/>
    <w:rsid w:val="00E87822"/>
    <w:rsid w:val="00E90395"/>
    <w:rsid w:val="00E904FE"/>
    <w:rsid w:val="00E90E49"/>
    <w:rsid w:val="00E917F9"/>
    <w:rsid w:val="00E9291C"/>
    <w:rsid w:val="00E93FFE"/>
    <w:rsid w:val="00E94F8A"/>
    <w:rsid w:val="00EA7A41"/>
    <w:rsid w:val="00EA7BE7"/>
    <w:rsid w:val="00EB076F"/>
    <w:rsid w:val="00EB077B"/>
    <w:rsid w:val="00EB4EA2"/>
    <w:rsid w:val="00EB6208"/>
    <w:rsid w:val="00EC27C6"/>
    <w:rsid w:val="00EC4207"/>
    <w:rsid w:val="00EC495E"/>
    <w:rsid w:val="00EC5653"/>
    <w:rsid w:val="00EC71CE"/>
    <w:rsid w:val="00ED1006"/>
    <w:rsid w:val="00ED3DFA"/>
    <w:rsid w:val="00ED4CB7"/>
    <w:rsid w:val="00EE6A31"/>
    <w:rsid w:val="00EF18FE"/>
    <w:rsid w:val="00EF1D5D"/>
    <w:rsid w:val="00EF5787"/>
    <w:rsid w:val="00EF60D0"/>
    <w:rsid w:val="00EF743A"/>
    <w:rsid w:val="00EF763A"/>
    <w:rsid w:val="00F0259F"/>
    <w:rsid w:val="00F040E0"/>
    <w:rsid w:val="00F0528D"/>
    <w:rsid w:val="00F05AD8"/>
    <w:rsid w:val="00F06C67"/>
    <w:rsid w:val="00F06DFD"/>
    <w:rsid w:val="00F071D1"/>
    <w:rsid w:val="00F07533"/>
    <w:rsid w:val="00F10629"/>
    <w:rsid w:val="00F11E38"/>
    <w:rsid w:val="00F13CF1"/>
    <w:rsid w:val="00F15FA5"/>
    <w:rsid w:val="00F209B7"/>
    <w:rsid w:val="00F22838"/>
    <w:rsid w:val="00F2376F"/>
    <w:rsid w:val="00F23957"/>
    <w:rsid w:val="00F243D8"/>
    <w:rsid w:val="00F27853"/>
    <w:rsid w:val="00F30828"/>
    <w:rsid w:val="00F313D6"/>
    <w:rsid w:val="00F32A6B"/>
    <w:rsid w:val="00F378D4"/>
    <w:rsid w:val="00F40A53"/>
    <w:rsid w:val="00F40F0C"/>
    <w:rsid w:val="00F41286"/>
    <w:rsid w:val="00F433E3"/>
    <w:rsid w:val="00F46056"/>
    <w:rsid w:val="00F467E9"/>
    <w:rsid w:val="00F4766C"/>
    <w:rsid w:val="00F5060E"/>
    <w:rsid w:val="00F507D1"/>
    <w:rsid w:val="00F519CE"/>
    <w:rsid w:val="00F51ADA"/>
    <w:rsid w:val="00F57B72"/>
    <w:rsid w:val="00F607C5"/>
    <w:rsid w:val="00F60DEA"/>
    <w:rsid w:val="00F6302A"/>
    <w:rsid w:val="00F63A0B"/>
    <w:rsid w:val="00F64C2B"/>
    <w:rsid w:val="00F651BE"/>
    <w:rsid w:val="00F66AFC"/>
    <w:rsid w:val="00F67F53"/>
    <w:rsid w:val="00F703BE"/>
    <w:rsid w:val="00F71F69"/>
    <w:rsid w:val="00F72B72"/>
    <w:rsid w:val="00F74BB9"/>
    <w:rsid w:val="00F75582"/>
    <w:rsid w:val="00F756DC"/>
    <w:rsid w:val="00F76EFA"/>
    <w:rsid w:val="00F804BE"/>
    <w:rsid w:val="00F817CE"/>
    <w:rsid w:val="00F843E4"/>
    <w:rsid w:val="00F8456C"/>
    <w:rsid w:val="00F859D8"/>
    <w:rsid w:val="00F86347"/>
    <w:rsid w:val="00F86813"/>
    <w:rsid w:val="00F868F5"/>
    <w:rsid w:val="00F87730"/>
    <w:rsid w:val="00F9056A"/>
    <w:rsid w:val="00F90DD5"/>
    <w:rsid w:val="00F90F8D"/>
    <w:rsid w:val="00F92782"/>
    <w:rsid w:val="00F93AA9"/>
    <w:rsid w:val="00F96985"/>
    <w:rsid w:val="00F975AB"/>
    <w:rsid w:val="00F97838"/>
    <w:rsid w:val="00FA237E"/>
    <w:rsid w:val="00FA2BB3"/>
    <w:rsid w:val="00FB28DC"/>
    <w:rsid w:val="00FB4C80"/>
    <w:rsid w:val="00FB50AC"/>
    <w:rsid w:val="00FB5516"/>
    <w:rsid w:val="00FB6A6A"/>
    <w:rsid w:val="00FC1220"/>
    <w:rsid w:val="00FC42EC"/>
    <w:rsid w:val="00FC583D"/>
    <w:rsid w:val="00FC7429"/>
    <w:rsid w:val="00FC7794"/>
    <w:rsid w:val="00FD07F6"/>
    <w:rsid w:val="00FD1EC8"/>
    <w:rsid w:val="00FD28B5"/>
    <w:rsid w:val="00FD2E78"/>
    <w:rsid w:val="00FD3D1D"/>
    <w:rsid w:val="00FD47ED"/>
    <w:rsid w:val="00FD74DB"/>
    <w:rsid w:val="00FD7660"/>
    <w:rsid w:val="00FE0655"/>
    <w:rsid w:val="00FE2365"/>
    <w:rsid w:val="00FE37D7"/>
    <w:rsid w:val="00FE4C7B"/>
    <w:rsid w:val="00FE7336"/>
    <w:rsid w:val="00FE7790"/>
    <w:rsid w:val="00FE787C"/>
    <w:rsid w:val="00FF25B7"/>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D38E0"/>
  <w15:docId w15:val="{D0131D0E-864A-4F76-A9A3-4A3C796BC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D332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Char,Heading 1 Char"/>
    <w:next w:val="a0"/>
    <w:link w:val="10"/>
    <w:qFormat/>
    <w:rsid w:val="001D33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Char Char"/>
    <w:basedOn w:val="1"/>
    <w:next w:val="a0"/>
    <w:qFormat/>
    <w:rsid w:val="001D332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0"/>
    <w:qFormat/>
    <w:rsid w:val="001D332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3"/>
    <w:next w:val="a0"/>
    <w:qFormat/>
    <w:rsid w:val="001D3329"/>
    <w:pPr>
      <w:numPr>
        <w:ilvl w:val="3"/>
      </w:numPr>
      <w:outlineLvl w:val="3"/>
    </w:pPr>
    <w:rPr>
      <w:sz w:val="24"/>
      <w:szCs w:val="24"/>
    </w:rPr>
  </w:style>
  <w:style w:type="paragraph" w:styleId="5">
    <w:name w:val="heading 5"/>
    <w:basedOn w:val="4"/>
    <w:next w:val="a0"/>
    <w:qFormat/>
    <w:rsid w:val="001D3329"/>
    <w:pPr>
      <w:numPr>
        <w:ilvl w:val="4"/>
      </w:numPr>
      <w:outlineLvl w:val="4"/>
    </w:pPr>
    <w:rPr>
      <w:sz w:val="22"/>
      <w:szCs w:val="22"/>
    </w:rPr>
  </w:style>
  <w:style w:type="paragraph" w:styleId="6">
    <w:name w:val="heading 6"/>
    <w:basedOn w:val="a0"/>
    <w:next w:val="a0"/>
    <w:qFormat/>
    <w:rsid w:val="001D3329"/>
    <w:pPr>
      <w:keepNext/>
      <w:keepLines/>
      <w:numPr>
        <w:ilvl w:val="5"/>
        <w:numId w:val="1"/>
      </w:numPr>
      <w:spacing w:before="120"/>
      <w:outlineLvl w:val="5"/>
    </w:pPr>
    <w:rPr>
      <w:rFonts w:cs="Arial"/>
    </w:rPr>
  </w:style>
  <w:style w:type="paragraph" w:styleId="7">
    <w:name w:val="heading 7"/>
    <w:basedOn w:val="a0"/>
    <w:next w:val="a0"/>
    <w:qFormat/>
    <w:rsid w:val="001D3329"/>
    <w:pPr>
      <w:keepNext/>
      <w:keepLines/>
      <w:numPr>
        <w:ilvl w:val="6"/>
        <w:numId w:val="1"/>
      </w:numPr>
      <w:spacing w:before="120"/>
      <w:outlineLvl w:val="6"/>
    </w:pPr>
    <w:rPr>
      <w:rFonts w:cs="Arial"/>
    </w:rPr>
  </w:style>
  <w:style w:type="paragraph" w:styleId="8">
    <w:name w:val="heading 8"/>
    <w:basedOn w:val="7"/>
    <w:next w:val="a0"/>
    <w:qFormat/>
    <w:rsid w:val="001D3329"/>
    <w:pPr>
      <w:numPr>
        <w:ilvl w:val="7"/>
      </w:numPr>
      <w:outlineLvl w:val="7"/>
    </w:pPr>
  </w:style>
  <w:style w:type="paragraph" w:styleId="9">
    <w:name w:val="heading 9"/>
    <w:basedOn w:val="8"/>
    <w:next w:val="a0"/>
    <w:qFormat/>
    <w:rsid w:val="001D332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1D3329"/>
    <w:pPr>
      <w:spacing w:before="180"/>
      <w:ind w:left="2693" w:hanging="2693"/>
    </w:pPr>
    <w:rPr>
      <w:b w:val="0"/>
      <w:bCs/>
    </w:rPr>
  </w:style>
  <w:style w:type="paragraph" w:styleId="11">
    <w:name w:val="toc 1"/>
    <w:aliases w:val="Observation TOC2"/>
    <w:uiPriority w:val="39"/>
    <w:rsid w:val="001D33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1D3329"/>
    <w:pPr>
      <w:keepNext/>
      <w:keepLines/>
      <w:spacing w:before="180"/>
      <w:jc w:val="center"/>
    </w:pPr>
  </w:style>
  <w:style w:type="paragraph" w:styleId="a4">
    <w:name w:val="caption"/>
    <w:basedOn w:val="a0"/>
    <w:next w:val="a0"/>
    <w:qFormat/>
    <w:rsid w:val="001D3329"/>
    <w:pPr>
      <w:spacing w:after="240"/>
      <w:jc w:val="center"/>
    </w:pPr>
    <w:rPr>
      <w:b/>
      <w:bCs/>
    </w:rPr>
  </w:style>
  <w:style w:type="paragraph" w:styleId="51">
    <w:name w:val="toc 5"/>
    <w:aliases w:val="Observation TOC"/>
    <w:basedOn w:val="41"/>
    <w:semiHidden/>
    <w:rsid w:val="001D3329"/>
    <w:pPr>
      <w:tabs>
        <w:tab w:val="right" w:pos="1701"/>
      </w:tabs>
      <w:ind w:left="1701" w:hanging="1701"/>
    </w:pPr>
  </w:style>
  <w:style w:type="paragraph" w:styleId="41">
    <w:name w:val="toc 4"/>
    <w:basedOn w:val="31"/>
    <w:semiHidden/>
    <w:rsid w:val="001D3329"/>
    <w:pPr>
      <w:ind w:left="1418" w:hanging="1418"/>
    </w:pPr>
  </w:style>
  <w:style w:type="paragraph" w:styleId="31">
    <w:name w:val="toc 3"/>
    <w:basedOn w:val="21"/>
    <w:semiHidden/>
    <w:rsid w:val="001D3329"/>
    <w:pPr>
      <w:ind w:left="1134" w:hanging="1134"/>
    </w:pPr>
  </w:style>
  <w:style w:type="paragraph" w:styleId="21">
    <w:name w:val="toc 2"/>
    <w:basedOn w:val="11"/>
    <w:uiPriority w:val="39"/>
    <w:rsid w:val="001D3329"/>
    <w:pPr>
      <w:keepNext w:val="0"/>
      <w:spacing w:before="0"/>
      <w:ind w:left="851" w:hanging="851"/>
    </w:pPr>
    <w:rPr>
      <w:szCs w:val="20"/>
    </w:rPr>
  </w:style>
  <w:style w:type="paragraph" w:styleId="22">
    <w:name w:val="index 2"/>
    <w:basedOn w:val="12"/>
    <w:semiHidden/>
    <w:rsid w:val="001D3329"/>
    <w:pPr>
      <w:ind w:left="284"/>
    </w:pPr>
  </w:style>
  <w:style w:type="paragraph" w:styleId="12">
    <w:name w:val="index 1"/>
    <w:basedOn w:val="a0"/>
    <w:semiHidden/>
    <w:rsid w:val="001D3329"/>
    <w:pPr>
      <w:keepLines/>
      <w:spacing w:after="0"/>
    </w:pPr>
  </w:style>
  <w:style w:type="paragraph" w:styleId="a5">
    <w:name w:val="Document Map"/>
    <w:basedOn w:val="a0"/>
    <w:semiHidden/>
    <w:rsid w:val="001D3329"/>
    <w:pPr>
      <w:shd w:val="clear" w:color="auto" w:fill="000080"/>
    </w:pPr>
    <w:rPr>
      <w:rFonts w:ascii="Tahoma" w:hAnsi="Tahoma" w:cs="Tahoma"/>
    </w:rPr>
  </w:style>
  <w:style w:type="paragraph" w:styleId="23">
    <w:name w:val="List Number 2"/>
    <w:basedOn w:val="a6"/>
    <w:rsid w:val="001D3329"/>
    <w:pPr>
      <w:ind w:left="851"/>
    </w:pPr>
  </w:style>
  <w:style w:type="paragraph" w:styleId="a6">
    <w:name w:val="List Number"/>
    <w:basedOn w:val="a7"/>
    <w:rsid w:val="001D3329"/>
  </w:style>
  <w:style w:type="paragraph" w:styleId="a7">
    <w:name w:val="List"/>
    <w:basedOn w:val="a0"/>
    <w:rsid w:val="001D3329"/>
    <w:pPr>
      <w:ind w:left="568" w:hanging="284"/>
    </w:pPr>
  </w:style>
  <w:style w:type="paragraph" w:styleId="a8">
    <w:name w:val="header"/>
    <w:rsid w:val="001D332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1D3329"/>
    <w:rPr>
      <w:b/>
      <w:bCs/>
      <w:position w:val="6"/>
      <w:sz w:val="16"/>
      <w:szCs w:val="16"/>
    </w:rPr>
  </w:style>
  <w:style w:type="paragraph" w:styleId="aa">
    <w:name w:val="footnote text"/>
    <w:basedOn w:val="a0"/>
    <w:semiHidden/>
    <w:rsid w:val="001D3329"/>
    <w:pPr>
      <w:keepLines/>
      <w:spacing w:after="0"/>
      <w:ind w:left="454" w:hanging="454"/>
    </w:pPr>
    <w:rPr>
      <w:sz w:val="16"/>
      <w:szCs w:val="16"/>
    </w:rPr>
  </w:style>
  <w:style w:type="paragraph" w:customStyle="1" w:styleId="3GPPHeader">
    <w:name w:val="3GPP_Header"/>
    <w:basedOn w:val="a0"/>
    <w:rsid w:val="001D3329"/>
    <w:pPr>
      <w:tabs>
        <w:tab w:val="left" w:pos="1701"/>
        <w:tab w:val="right" w:pos="9639"/>
      </w:tabs>
      <w:spacing w:after="240"/>
    </w:pPr>
    <w:rPr>
      <w:b/>
      <w:sz w:val="24"/>
    </w:rPr>
  </w:style>
  <w:style w:type="paragraph" w:styleId="90">
    <w:name w:val="toc 9"/>
    <w:basedOn w:val="80"/>
    <w:semiHidden/>
    <w:rsid w:val="001D3329"/>
    <w:pPr>
      <w:ind w:left="1418" w:hanging="1418"/>
    </w:pPr>
  </w:style>
  <w:style w:type="paragraph" w:styleId="60">
    <w:name w:val="toc 6"/>
    <w:basedOn w:val="51"/>
    <w:next w:val="a0"/>
    <w:semiHidden/>
    <w:rsid w:val="001D3329"/>
    <w:pPr>
      <w:ind w:left="1985" w:hanging="1985"/>
    </w:pPr>
  </w:style>
  <w:style w:type="paragraph" w:styleId="70">
    <w:name w:val="toc 7"/>
    <w:basedOn w:val="60"/>
    <w:next w:val="a0"/>
    <w:semiHidden/>
    <w:rsid w:val="001D3329"/>
    <w:pPr>
      <w:ind w:left="2268" w:hanging="2268"/>
    </w:pPr>
  </w:style>
  <w:style w:type="paragraph" w:styleId="20">
    <w:name w:val="List Bullet 2"/>
    <w:basedOn w:val="a"/>
    <w:rsid w:val="001D3329"/>
    <w:pPr>
      <w:numPr>
        <w:numId w:val="6"/>
      </w:numPr>
    </w:pPr>
  </w:style>
  <w:style w:type="paragraph" w:styleId="a">
    <w:name w:val="List Bullet"/>
    <w:basedOn w:val="ab"/>
    <w:rsid w:val="001D3329"/>
    <w:pPr>
      <w:numPr>
        <w:numId w:val="5"/>
      </w:numPr>
    </w:pPr>
  </w:style>
  <w:style w:type="paragraph" w:styleId="30">
    <w:name w:val="List Bullet 3"/>
    <w:basedOn w:val="20"/>
    <w:rsid w:val="001D3329"/>
    <w:pPr>
      <w:numPr>
        <w:numId w:val="7"/>
      </w:numPr>
    </w:pPr>
  </w:style>
  <w:style w:type="paragraph" w:customStyle="1" w:styleId="EQ">
    <w:name w:val="EQ"/>
    <w:basedOn w:val="a0"/>
    <w:next w:val="a0"/>
    <w:rsid w:val="001D3329"/>
    <w:pPr>
      <w:keepLines/>
      <w:tabs>
        <w:tab w:val="center" w:pos="4536"/>
        <w:tab w:val="right" w:pos="9072"/>
      </w:tabs>
      <w:spacing w:after="180"/>
      <w:jc w:val="left"/>
    </w:pPr>
    <w:rPr>
      <w:noProof/>
      <w:lang w:eastAsia="en-US"/>
    </w:rPr>
  </w:style>
  <w:style w:type="paragraph" w:styleId="24">
    <w:name w:val="List 2"/>
    <w:basedOn w:val="a7"/>
    <w:rsid w:val="001D3329"/>
    <w:pPr>
      <w:ind w:left="851"/>
    </w:pPr>
  </w:style>
  <w:style w:type="paragraph" w:styleId="32">
    <w:name w:val="List 3"/>
    <w:basedOn w:val="24"/>
    <w:rsid w:val="001D3329"/>
    <w:pPr>
      <w:ind w:left="1135"/>
    </w:pPr>
  </w:style>
  <w:style w:type="paragraph" w:styleId="42">
    <w:name w:val="List 4"/>
    <w:basedOn w:val="32"/>
    <w:rsid w:val="001D3329"/>
    <w:pPr>
      <w:ind w:left="1418"/>
    </w:pPr>
  </w:style>
  <w:style w:type="paragraph" w:styleId="52">
    <w:name w:val="List 5"/>
    <w:basedOn w:val="42"/>
    <w:rsid w:val="001D3329"/>
    <w:pPr>
      <w:ind w:left="1702"/>
    </w:pPr>
  </w:style>
  <w:style w:type="paragraph" w:customStyle="1" w:styleId="EditorsNote">
    <w:name w:val="Editor's Note"/>
    <w:basedOn w:val="a0"/>
    <w:rsid w:val="001D3329"/>
    <w:pPr>
      <w:keepLines/>
      <w:spacing w:after="180"/>
      <w:ind w:left="1135" w:hanging="851"/>
      <w:jc w:val="left"/>
    </w:pPr>
    <w:rPr>
      <w:color w:val="FF0000"/>
      <w:lang w:eastAsia="en-US"/>
    </w:rPr>
  </w:style>
  <w:style w:type="paragraph" w:styleId="40">
    <w:name w:val="List Bullet 4"/>
    <w:basedOn w:val="30"/>
    <w:rsid w:val="001D3329"/>
    <w:pPr>
      <w:numPr>
        <w:numId w:val="8"/>
      </w:numPr>
    </w:pPr>
  </w:style>
  <w:style w:type="paragraph" w:styleId="50">
    <w:name w:val="List Bullet 5"/>
    <w:basedOn w:val="40"/>
    <w:rsid w:val="001D3329"/>
    <w:pPr>
      <w:numPr>
        <w:numId w:val="4"/>
      </w:numPr>
    </w:pPr>
  </w:style>
  <w:style w:type="paragraph" w:styleId="ac">
    <w:name w:val="footer"/>
    <w:basedOn w:val="a8"/>
    <w:semiHidden/>
    <w:rsid w:val="001D3329"/>
    <w:pPr>
      <w:jc w:val="center"/>
    </w:pPr>
    <w:rPr>
      <w:i/>
      <w:iCs/>
    </w:rPr>
  </w:style>
  <w:style w:type="paragraph" w:customStyle="1" w:styleId="Reference">
    <w:name w:val="Reference"/>
    <w:basedOn w:val="a0"/>
    <w:rsid w:val="001D3329"/>
    <w:pPr>
      <w:numPr>
        <w:numId w:val="2"/>
      </w:numPr>
    </w:pPr>
  </w:style>
  <w:style w:type="paragraph" w:styleId="ad">
    <w:name w:val="Balloon Text"/>
    <w:basedOn w:val="a0"/>
    <w:semiHidden/>
    <w:rsid w:val="001D3329"/>
    <w:rPr>
      <w:rFonts w:ascii="Tahoma" w:hAnsi="Tahoma" w:cs="Tahoma"/>
      <w:sz w:val="16"/>
      <w:szCs w:val="16"/>
    </w:rPr>
  </w:style>
  <w:style w:type="character" w:styleId="ae">
    <w:name w:val="page number"/>
    <w:basedOn w:val="a1"/>
    <w:semiHidden/>
    <w:rsid w:val="001D3329"/>
  </w:style>
  <w:style w:type="paragraph" w:styleId="ab">
    <w:name w:val="Body Text"/>
    <w:basedOn w:val="a0"/>
    <w:link w:val="af"/>
    <w:rsid w:val="001D3329"/>
  </w:style>
  <w:style w:type="character" w:styleId="af0">
    <w:name w:val="Hyperlink"/>
    <w:uiPriority w:val="99"/>
    <w:rsid w:val="001D3329"/>
    <w:rPr>
      <w:color w:val="0000FF"/>
      <w:u w:val="single"/>
      <w:lang w:val="en-GB"/>
    </w:rPr>
  </w:style>
  <w:style w:type="character" w:styleId="af1">
    <w:name w:val="FollowedHyperlink"/>
    <w:semiHidden/>
    <w:rsid w:val="001D3329"/>
    <w:rPr>
      <w:color w:val="FF0000"/>
      <w:u w:val="single"/>
    </w:rPr>
  </w:style>
  <w:style w:type="character" w:styleId="af2">
    <w:name w:val="annotation reference"/>
    <w:semiHidden/>
    <w:rsid w:val="001D3329"/>
    <w:rPr>
      <w:sz w:val="16"/>
      <w:szCs w:val="16"/>
    </w:rPr>
  </w:style>
  <w:style w:type="paragraph" w:styleId="af3">
    <w:name w:val="annotation text"/>
    <w:basedOn w:val="a0"/>
    <w:semiHidden/>
    <w:rsid w:val="001D3329"/>
  </w:style>
  <w:style w:type="paragraph" w:styleId="af4">
    <w:name w:val="annotation subject"/>
    <w:basedOn w:val="af3"/>
    <w:next w:val="af3"/>
    <w:semiHidden/>
    <w:rsid w:val="001D3329"/>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D3329"/>
    <w:rPr>
      <w:rFonts w:ascii="Arial" w:hAnsi="Arial" w:cs="Arial"/>
      <w:sz w:val="36"/>
      <w:szCs w:val="36"/>
      <w:lang w:val="en-GB"/>
    </w:rPr>
  </w:style>
  <w:style w:type="paragraph" w:customStyle="1" w:styleId="B1">
    <w:name w:val="B1"/>
    <w:basedOn w:val="a7"/>
    <w:link w:val="B1Char"/>
    <w:qFormat/>
    <w:rsid w:val="001D3329"/>
    <w:pPr>
      <w:spacing w:after="180"/>
      <w:jc w:val="left"/>
    </w:pPr>
    <w:rPr>
      <w:lang w:eastAsia="en-US"/>
    </w:rPr>
  </w:style>
  <w:style w:type="paragraph" w:customStyle="1" w:styleId="B2">
    <w:name w:val="B2"/>
    <w:basedOn w:val="24"/>
    <w:link w:val="B2Char"/>
    <w:rsid w:val="001D3329"/>
    <w:pPr>
      <w:spacing w:after="180"/>
      <w:jc w:val="left"/>
    </w:pPr>
    <w:rPr>
      <w:lang w:eastAsia="en-US"/>
    </w:rPr>
  </w:style>
  <w:style w:type="paragraph" w:customStyle="1" w:styleId="B3">
    <w:name w:val="B3"/>
    <w:basedOn w:val="32"/>
    <w:link w:val="B3Char2"/>
    <w:rsid w:val="001D3329"/>
    <w:pPr>
      <w:spacing w:after="180"/>
      <w:jc w:val="left"/>
    </w:pPr>
    <w:rPr>
      <w:lang w:eastAsia="en-US"/>
    </w:rPr>
  </w:style>
  <w:style w:type="paragraph" w:customStyle="1" w:styleId="B4">
    <w:name w:val="B4"/>
    <w:basedOn w:val="42"/>
    <w:link w:val="B4Char"/>
    <w:rsid w:val="001D3329"/>
    <w:pPr>
      <w:spacing w:after="180"/>
      <w:jc w:val="left"/>
    </w:pPr>
    <w:rPr>
      <w:lang w:eastAsia="en-US"/>
    </w:rPr>
  </w:style>
  <w:style w:type="paragraph" w:customStyle="1" w:styleId="Proposal">
    <w:name w:val="Proposal"/>
    <w:basedOn w:val="a0"/>
    <w:rsid w:val="001D3329"/>
    <w:pPr>
      <w:numPr>
        <w:numId w:val="3"/>
      </w:numPr>
      <w:tabs>
        <w:tab w:val="left" w:pos="1701"/>
      </w:tabs>
    </w:pPr>
    <w:rPr>
      <w:b/>
      <w:bCs/>
    </w:rPr>
  </w:style>
  <w:style w:type="character" w:customStyle="1" w:styleId="af">
    <w:name w:val="正文文本 字符"/>
    <w:link w:val="ab"/>
    <w:rsid w:val="001D3329"/>
    <w:rPr>
      <w:rFonts w:ascii="Arial" w:hAnsi="Arial"/>
      <w:lang w:val="en-GB"/>
    </w:rPr>
  </w:style>
  <w:style w:type="paragraph" w:customStyle="1" w:styleId="B5">
    <w:name w:val="B5"/>
    <w:basedOn w:val="52"/>
    <w:rsid w:val="001D3329"/>
    <w:pPr>
      <w:spacing w:after="180"/>
      <w:jc w:val="left"/>
    </w:pPr>
    <w:rPr>
      <w:lang w:eastAsia="en-US"/>
    </w:rPr>
  </w:style>
  <w:style w:type="paragraph" w:customStyle="1" w:styleId="EX">
    <w:name w:val="EX"/>
    <w:basedOn w:val="a0"/>
    <w:rsid w:val="001D3329"/>
    <w:pPr>
      <w:keepLines/>
      <w:spacing w:after="180"/>
      <w:ind w:left="1702" w:hanging="1418"/>
      <w:jc w:val="left"/>
    </w:pPr>
    <w:rPr>
      <w:lang w:eastAsia="en-US"/>
    </w:rPr>
  </w:style>
  <w:style w:type="paragraph" w:customStyle="1" w:styleId="EW">
    <w:name w:val="EW"/>
    <w:basedOn w:val="EX"/>
    <w:rsid w:val="001D3329"/>
    <w:pPr>
      <w:spacing w:after="0"/>
    </w:pPr>
  </w:style>
  <w:style w:type="paragraph" w:customStyle="1" w:styleId="TAL">
    <w:name w:val="TAL"/>
    <w:basedOn w:val="a0"/>
    <w:rsid w:val="001D3329"/>
    <w:pPr>
      <w:keepNext/>
      <w:keepLines/>
      <w:spacing w:after="0"/>
      <w:jc w:val="left"/>
    </w:pPr>
    <w:rPr>
      <w:sz w:val="18"/>
      <w:lang w:eastAsia="en-US"/>
    </w:rPr>
  </w:style>
  <w:style w:type="paragraph" w:customStyle="1" w:styleId="TAC">
    <w:name w:val="TAC"/>
    <w:basedOn w:val="TAL"/>
    <w:rsid w:val="001D3329"/>
    <w:pPr>
      <w:jc w:val="center"/>
    </w:pPr>
  </w:style>
  <w:style w:type="paragraph" w:customStyle="1" w:styleId="TAH">
    <w:name w:val="TAH"/>
    <w:basedOn w:val="TAC"/>
    <w:rsid w:val="001D3329"/>
    <w:rPr>
      <w:b/>
    </w:rPr>
  </w:style>
  <w:style w:type="paragraph" w:customStyle="1" w:styleId="TAN">
    <w:name w:val="TAN"/>
    <w:basedOn w:val="TAL"/>
    <w:rsid w:val="001D3329"/>
    <w:pPr>
      <w:ind w:left="851" w:hanging="851"/>
    </w:pPr>
  </w:style>
  <w:style w:type="paragraph" w:customStyle="1" w:styleId="TAR">
    <w:name w:val="TAR"/>
    <w:basedOn w:val="TAL"/>
    <w:rsid w:val="001D3329"/>
    <w:pPr>
      <w:jc w:val="right"/>
    </w:pPr>
  </w:style>
  <w:style w:type="paragraph" w:customStyle="1" w:styleId="TH">
    <w:name w:val="TH"/>
    <w:basedOn w:val="a0"/>
    <w:link w:val="THChar"/>
    <w:rsid w:val="001D3329"/>
    <w:pPr>
      <w:keepNext/>
      <w:keepLines/>
      <w:spacing w:before="60" w:after="180"/>
      <w:jc w:val="center"/>
    </w:pPr>
    <w:rPr>
      <w:b/>
      <w:lang w:eastAsia="en-US"/>
    </w:rPr>
  </w:style>
  <w:style w:type="paragraph" w:customStyle="1" w:styleId="TF">
    <w:name w:val="TF"/>
    <w:basedOn w:val="TH"/>
    <w:rsid w:val="001D3329"/>
    <w:pPr>
      <w:keepNext w:val="0"/>
      <w:spacing w:before="0" w:after="240"/>
    </w:pPr>
  </w:style>
  <w:style w:type="paragraph" w:customStyle="1" w:styleId="TT">
    <w:name w:val="TT"/>
    <w:basedOn w:val="1"/>
    <w:next w:val="a0"/>
    <w:rsid w:val="001D3329"/>
    <w:pPr>
      <w:numPr>
        <w:numId w:val="0"/>
      </w:numPr>
      <w:ind w:left="1134" w:hanging="1134"/>
      <w:outlineLvl w:val="9"/>
    </w:pPr>
    <w:rPr>
      <w:rFonts w:cs="Times New Roman"/>
      <w:szCs w:val="20"/>
      <w:lang w:eastAsia="en-US"/>
    </w:rPr>
  </w:style>
  <w:style w:type="paragraph" w:customStyle="1" w:styleId="ZA">
    <w:name w:val="ZA"/>
    <w:rsid w:val="001D33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D33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D332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D33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D3329"/>
  </w:style>
  <w:style w:type="paragraph" w:customStyle="1" w:styleId="ZH">
    <w:name w:val="ZH"/>
    <w:rsid w:val="001D332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D33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D3329"/>
    <w:pPr>
      <w:framePr w:hRule="auto" w:wrap="notBeside" w:y="852"/>
    </w:pPr>
    <w:rPr>
      <w:i w:val="0"/>
      <w:sz w:val="40"/>
    </w:rPr>
  </w:style>
  <w:style w:type="paragraph" w:customStyle="1" w:styleId="ZU">
    <w:name w:val="ZU"/>
    <w:rsid w:val="001D33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D3329"/>
    <w:pPr>
      <w:framePr w:wrap="notBeside" w:y="16161"/>
    </w:pPr>
  </w:style>
  <w:style w:type="paragraph" w:customStyle="1" w:styleId="FP">
    <w:name w:val="FP"/>
    <w:basedOn w:val="a0"/>
    <w:rsid w:val="001D3329"/>
    <w:pPr>
      <w:spacing w:after="0"/>
      <w:jc w:val="left"/>
    </w:pPr>
    <w:rPr>
      <w:lang w:eastAsia="en-US"/>
    </w:rPr>
  </w:style>
  <w:style w:type="paragraph" w:customStyle="1" w:styleId="Observation">
    <w:name w:val="Observation"/>
    <w:basedOn w:val="Proposal"/>
    <w:qFormat/>
    <w:rsid w:val="001D3329"/>
    <w:pPr>
      <w:numPr>
        <w:numId w:val="9"/>
      </w:numPr>
      <w:ind w:left="1701" w:hanging="1701"/>
    </w:pPr>
  </w:style>
  <w:style w:type="paragraph" w:styleId="af5">
    <w:name w:val="table of figures"/>
    <w:basedOn w:val="a0"/>
    <w:next w:val="a0"/>
    <w:uiPriority w:val="99"/>
    <w:rsid w:val="001D3329"/>
    <w:pPr>
      <w:ind w:left="1418" w:hanging="1418"/>
      <w:jc w:val="left"/>
    </w:pPr>
    <w:rPr>
      <w:b/>
    </w:rPr>
  </w:style>
  <w:style w:type="paragraph" w:customStyle="1" w:styleId="Doc-text2">
    <w:name w:val="Doc-text2"/>
    <w:basedOn w:val="a0"/>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a0"/>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a1"/>
    <w:link w:val="NO"/>
    <w:rsid w:val="00F46056"/>
    <w:rPr>
      <w:rFonts w:ascii="Times New Roman" w:eastAsia="Times New Roman" w:hAnsi="Times New Roman"/>
      <w:lang w:val="en-GB" w:eastAsia="ko-KR"/>
    </w:rPr>
  </w:style>
  <w:style w:type="character" w:customStyle="1" w:styleId="B2Char">
    <w:name w:val="B2 Char"/>
    <w:basedOn w:val="a1"/>
    <w:link w:val="B2"/>
    <w:rsid w:val="00F46056"/>
    <w:rPr>
      <w:rFonts w:ascii="Arial" w:hAnsi="Arial"/>
      <w:lang w:val="en-GB" w:eastAsia="en-US"/>
    </w:rPr>
  </w:style>
  <w:style w:type="character" w:customStyle="1" w:styleId="B1Char">
    <w:name w:val="B1 Char"/>
    <w:basedOn w:val="a1"/>
    <w:link w:val="B1"/>
    <w:rsid w:val="00A22FD5"/>
    <w:rPr>
      <w:rFonts w:ascii="Arial" w:hAnsi="Arial"/>
      <w:lang w:val="en-GB" w:eastAsia="en-US"/>
    </w:rPr>
  </w:style>
  <w:style w:type="table" w:styleId="af6">
    <w:name w:val="Table Grid"/>
    <w:basedOn w:val="a2"/>
    <w:rsid w:val="0093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0"/>
    <w:uiPriority w:val="34"/>
    <w:qFormat/>
    <w:rsid w:val="000677D1"/>
    <w:pPr>
      <w:ind w:left="720"/>
      <w:contextualSpacing/>
    </w:pPr>
  </w:style>
  <w:style w:type="paragraph" w:customStyle="1" w:styleId="Guidance">
    <w:name w:val="Guidance"/>
    <w:basedOn w:val="a0"/>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customStyle="1" w:styleId="CRCoverPage">
    <w:name w:val="CR Cover Page"/>
    <w:link w:val="CRCoverPageZchn"/>
    <w:rsid w:val="0031543E"/>
    <w:pPr>
      <w:spacing w:after="120"/>
    </w:pPr>
    <w:rPr>
      <w:rFonts w:ascii="Arial" w:eastAsia="宋体" w:hAnsi="Arial"/>
      <w:lang w:val="en-GB" w:eastAsia="en-US"/>
    </w:rPr>
  </w:style>
  <w:style w:type="character" w:customStyle="1" w:styleId="CRCoverPageZchn">
    <w:name w:val="CR Cover Page Zchn"/>
    <w:link w:val="CRCoverPage"/>
    <w:locked/>
    <w:rsid w:val="0031543E"/>
    <w:rPr>
      <w:rFonts w:ascii="Arial" w:eastAsia="宋体" w:hAnsi="Arial"/>
      <w:lang w:val="en-GB" w:eastAsia="en-US"/>
    </w:rPr>
  </w:style>
  <w:style w:type="paragraph" w:customStyle="1" w:styleId="ListParagraph1">
    <w:name w:val="List Paragraph1"/>
    <w:basedOn w:val="a0"/>
    <w:uiPriority w:val="34"/>
    <w:qFormat/>
    <w:rsid w:val="00AC59FF"/>
    <w:pPr>
      <w:overflowPunct/>
      <w:autoSpaceDE/>
      <w:autoSpaceDN/>
      <w:adjustRightInd/>
      <w:spacing w:after="180" w:line="259" w:lineRule="auto"/>
      <w:ind w:left="720"/>
      <w:contextualSpacing/>
      <w:jc w:val="left"/>
      <w:textAlignment w:val="auto"/>
    </w:pPr>
    <w:rPr>
      <w:rFonts w:ascii="Times New Roman" w:hAnsi="Times New Roman"/>
      <w:lang w:eastAsia="en-US"/>
    </w:rPr>
  </w:style>
  <w:style w:type="paragraph" w:customStyle="1" w:styleId="Doc-title">
    <w:name w:val="Doc-title"/>
    <w:basedOn w:val="a0"/>
    <w:next w:val="Doc-text2"/>
    <w:link w:val="Doc-titleChar"/>
    <w:qFormat/>
    <w:rsid w:val="0010060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00602"/>
    <w:rPr>
      <w:rFonts w:ascii="Arial" w:eastAsia="MS Mincho" w:hAnsi="Arial"/>
      <w:noProof/>
      <w:szCs w:val="24"/>
      <w:lang w:val="en-GB" w:eastAsia="en-GB"/>
    </w:rPr>
  </w:style>
  <w:style w:type="paragraph" w:customStyle="1" w:styleId="PL">
    <w:name w:val="PL"/>
    <w:link w:val="PLChar"/>
    <w:rsid w:val="00905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THChar">
    <w:name w:val="TH Char"/>
    <w:link w:val="TH"/>
    <w:rsid w:val="00905FD6"/>
    <w:rPr>
      <w:rFonts w:ascii="Arial" w:hAnsi="Arial"/>
      <w:b/>
      <w:lang w:val="en-GB" w:eastAsia="en-US"/>
    </w:rPr>
  </w:style>
  <w:style w:type="character" w:customStyle="1" w:styleId="PLChar">
    <w:name w:val="PL Char"/>
    <w:link w:val="PL"/>
    <w:rsid w:val="00905FD6"/>
    <w:rPr>
      <w:rFonts w:ascii="Courier New" w:eastAsia="Times New Roman" w:hAnsi="Courier New"/>
      <w:noProof/>
      <w:sz w:val="16"/>
      <w:lang w:eastAsia="en-US"/>
    </w:rPr>
  </w:style>
  <w:style w:type="character" w:customStyle="1" w:styleId="B1Char1">
    <w:name w:val="B1 Char1"/>
    <w:qFormat/>
    <w:rsid w:val="00782852"/>
    <w:rPr>
      <w:rFonts w:ascii="Times New Roman" w:eastAsia="Times New Roman" w:hAnsi="Times New Roman"/>
    </w:rPr>
  </w:style>
  <w:style w:type="character" w:customStyle="1" w:styleId="B3Char2">
    <w:name w:val="B3 Char2"/>
    <w:link w:val="B3"/>
    <w:rsid w:val="00782852"/>
    <w:rPr>
      <w:rFonts w:ascii="Arial" w:hAnsi="Arial"/>
      <w:lang w:val="en-GB" w:eastAsia="en-US"/>
    </w:rPr>
  </w:style>
  <w:style w:type="character" w:customStyle="1" w:styleId="B4Char">
    <w:name w:val="B4 Char"/>
    <w:link w:val="B4"/>
    <w:rsid w:val="00782852"/>
    <w:rPr>
      <w:rFonts w:ascii="Arial" w:hAnsi="Arial"/>
      <w:lang w:val="en-GB" w:eastAsia="en-US"/>
    </w:rPr>
  </w:style>
  <w:style w:type="character" w:customStyle="1" w:styleId="B1Zchn">
    <w:name w:val="B1 Zchn"/>
    <w:rsid w:val="0019686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RAN2\Docs\R2-180172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B738F-EAA3-4EF6-BB74-57CD35453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6</TotalTime>
  <Pages>2</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Shi Cong</dc:creator>
  <cp:keywords>3GPP; OPPO; TDoc</cp:keywords>
  <cp:lastModifiedBy>OPPO</cp:lastModifiedBy>
  <cp:revision>10</cp:revision>
  <cp:lastPrinted>2008-01-31T00:09:00Z</cp:lastPrinted>
  <dcterms:created xsi:type="dcterms:W3CDTF">2018-04-05T02:28:00Z</dcterms:created>
  <dcterms:modified xsi:type="dcterms:W3CDTF">2018-04-05T07:31:00Z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